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sz w:val="28"/>
          <w:szCs w:val="28"/>
        </w:rPr>
      </w:pPr>
      <w:r w:rsidDel="00000000" w:rsidR="00000000" w:rsidRPr="00000000">
        <w:rPr>
          <w:b w:val="1"/>
          <w:sz w:val="28"/>
          <w:szCs w:val="28"/>
          <w:rtl w:val="0"/>
        </w:rPr>
        <w:t xml:space="preserve">BUDGET SPREADSHEET – NARRATIVE ADDENDUM</w:t>
      </w:r>
      <w:r w:rsidDel="00000000" w:rsidR="00000000" w:rsidRPr="00000000">
        <w:rPr>
          <w:rtl w:val="0"/>
        </w:rPr>
      </w:r>
    </w:p>
    <w:p w:rsidR="00000000" w:rsidDel="00000000" w:rsidP="00000000" w:rsidRDefault="00000000" w:rsidRPr="00000000" w14:paraId="00000002">
      <w:pPr>
        <w:ind w:left="1" w:hanging="3"/>
        <w:jc w:val="center"/>
        <w:rPr>
          <w:sz w:val="28"/>
          <w:szCs w:val="28"/>
        </w:rPr>
      </w:pPr>
      <w:r w:rsidDel="00000000" w:rsidR="00000000" w:rsidRPr="00000000">
        <w:rPr>
          <w:b w:val="1"/>
          <w:sz w:val="28"/>
          <w:szCs w:val="28"/>
          <w:rtl w:val="0"/>
        </w:rPr>
        <w:t xml:space="preserve">FY25 NOAA/NWS TSUNAMI ACTIVITIES GRANT APPLICATION</w:t>
      </w: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p w:rsidR="00000000" w:rsidDel="00000000" w:rsidP="00000000" w:rsidRDefault="00000000" w:rsidRPr="00000000" w14:paraId="00000004">
      <w:pPr>
        <w:ind w:left="0" w:hanging="2"/>
        <w:rPr/>
      </w:pPr>
      <w:hyperlink r:id="rId7">
        <w:r w:rsidDel="00000000" w:rsidR="00000000" w:rsidRPr="00000000">
          <w:rPr>
            <w:color w:val="1155cc"/>
            <w:u w:val="single"/>
            <w:rtl w:val="0"/>
          </w:rPr>
          <w:t xml:space="preserve">NOAA Budget Narrative Guidance</w:t>
        </w:r>
      </w:hyperlink>
      <w:r w:rsidDel="00000000" w:rsidR="00000000" w:rsidRPr="00000000">
        <w:rPr>
          <w:rtl w:val="0"/>
        </w:rPr>
      </w:r>
    </w:p>
    <w:p w:rsidR="00000000" w:rsidDel="00000000" w:rsidP="00000000" w:rsidRDefault="00000000" w:rsidRPr="00000000" w14:paraId="00000005">
      <w:pPr>
        <w:ind w:left="0" w:hanging="2"/>
        <w:rPr/>
      </w:pPr>
      <w:r w:rsidDel="00000000" w:rsidR="00000000" w:rsidRPr="00000000">
        <w:rPr>
          <w:rtl w:val="0"/>
        </w:rPr>
      </w:r>
    </w:p>
    <w:p w:rsidR="00000000" w:rsidDel="00000000" w:rsidP="00000000" w:rsidRDefault="00000000" w:rsidRPr="00000000" w14:paraId="00000006">
      <w:pPr>
        <w:ind w:left="0" w:hanging="2"/>
        <w:rPr/>
      </w:pPr>
      <w:r w:rsidDel="00000000" w:rsidR="00000000" w:rsidRPr="00000000">
        <w:rPr>
          <w:rtl w:val="0"/>
        </w:rPr>
        <w:t xml:space="preserve">Submitting agency/organization:  </w:t>
      </w:r>
    </w:p>
    <w:p w:rsidR="00000000" w:rsidDel="00000000" w:rsidP="00000000" w:rsidRDefault="00000000" w:rsidRPr="00000000" w14:paraId="00000007">
      <w:pPr>
        <w:ind w:left="0" w:hanging="2"/>
        <w:rPr/>
      </w:pPr>
      <w:r w:rsidDel="00000000" w:rsidR="00000000" w:rsidRPr="00000000">
        <w:rPr>
          <w:rtl w:val="0"/>
        </w:rPr>
      </w:r>
    </w:p>
    <w:p w:rsidR="00000000" w:rsidDel="00000000" w:rsidP="00000000" w:rsidRDefault="00000000" w:rsidRPr="00000000" w14:paraId="00000008">
      <w:pPr>
        <w:ind w:left="0" w:hanging="2"/>
        <w:rPr/>
      </w:pPr>
      <w:r w:rsidDel="00000000" w:rsidR="00000000" w:rsidRPr="00000000">
        <w:rPr>
          <w:rtl w:val="0"/>
        </w:rPr>
        <w:t xml:space="preserve">Project Name:  </w:t>
      </w:r>
    </w:p>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pPr>
      <w:r w:rsidDel="00000000" w:rsidR="00000000" w:rsidRPr="00000000">
        <w:rPr>
          <w:rtl w:val="0"/>
        </w:rPr>
        <w:t xml:space="preserve">Overall Project Dates:  September 1, 2025 – August 31, 2026</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pPr>
      <w:r w:rsidDel="00000000" w:rsidR="00000000" w:rsidRPr="00000000">
        <w:rPr>
          <w:rtl w:val="0"/>
        </w:rPr>
        <w:t xml:space="preserve">Principle Investigator(s):  </w:t>
      </w:r>
    </w:p>
    <w:p w:rsidR="00000000" w:rsidDel="00000000" w:rsidP="00000000" w:rsidRDefault="00000000" w:rsidRPr="00000000" w14:paraId="0000000D">
      <w:pPr>
        <w:pBdr>
          <w:bottom w:color="000000" w:space="1" w:sz="6" w:val="single"/>
        </w:pBdr>
        <w:ind w:left="0" w:hanging="2"/>
        <w:rPr/>
      </w:pPr>
      <w:r w:rsidDel="00000000" w:rsidR="00000000" w:rsidRPr="00000000">
        <w:rPr>
          <w:rtl w:val="0"/>
        </w:rPr>
      </w:r>
    </w:p>
    <w:p w:rsidR="00000000" w:rsidDel="00000000" w:rsidP="00000000" w:rsidRDefault="00000000" w:rsidRPr="00000000" w14:paraId="0000000E">
      <w:pPr>
        <w:ind w:left="0" w:hanging="2"/>
        <w:rPr>
          <w:u w:val="single"/>
        </w:rPr>
      </w:pPr>
      <w:r w:rsidDel="00000000" w:rsidR="00000000" w:rsidRPr="00000000">
        <w:rPr>
          <w:rtl w:val="0"/>
        </w:rPr>
      </w:r>
    </w:p>
    <w:p w:rsidR="00000000" w:rsidDel="00000000" w:rsidP="00000000" w:rsidRDefault="00000000" w:rsidRPr="00000000" w14:paraId="0000000F">
      <w:pPr>
        <w:ind w:left="0" w:hanging="2"/>
        <w:rPr>
          <w:u w:val="single"/>
        </w:rPr>
      </w:pPr>
      <w:r w:rsidDel="00000000" w:rsidR="00000000" w:rsidRPr="00000000">
        <w:rPr>
          <w:u w:val="single"/>
          <w:rtl w:val="0"/>
        </w:rPr>
        <w:t xml:space="preserve">Personnel</w:t>
      </w:r>
    </w:p>
    <w:p w:rsidR="00000000" w:rsidDel="00000000" w:rsidP="00000000" w:rsidRDefault="00000000" w:rsidRPr="00000000" w14:paraId="00000010">
      <w:pPr>
        <w:ind w:left="0" w:hanging="2"/>
        <w:rPr>
          <w:u w:val="single"/>
        </w:rPr>
      </w:pPr>
      <w:r w:rsidDel="00000000" w:rsidR="00000000" w:rsidRPr="00000000">
        <w:rPr>
          <w:rtl w:val="0"/>
        </w:rPr>
      </w:r>
    </w:p>
    <w:p w:rsidR="00000000" w:rsidDel="00000000" w:rsidP="00000000" w:rsidRDefault="00000000" w:rsidRPr="00000000" w14:paraId="00000011">
      <w:pPr>
        <w:ind w:left="0" w:hanging="2"/>
        <w:rPr>
          <w:color w:val="0070c0"/>
        </w:rPr>
      </w:pPr>
      <w:r w:rsidDel="00000000" w:rsidR="00000000" w:rsidRPr="00000000">
        <w:rPr>
          <w:color w:val="0070c0"/>
          <w:rtl w:val="0"/>
        </w:rPr>
        <w:t xml:space="preserve">Below, provide a justification and description of each position (including vacant positions) to be paid with grant funds. Relate each position specifically to program objectives/tasks. Personnel cannot exceed 100% of their time on all active projects. </w:t>
      </w:r>
    </w:p>
    <w:p w:rsidR="00000000" w:rsidDel="00000000" w:rsidP="00000000" w:rsidRDefault="00000000" w:rsidRPr="00000000" w14:paraId="00000012">
      <w:pPr>
        <w:ind w:left="0" w:hanging="2"/>
        <w:rPr>
          <w:color w:val="0070c0"/>
        </w:rPr>
      </w:pPr>
      <w:r w:rsidDel="00000000" w:rsidR="00000000" w:rsidRPr="00000000">
        <w:rPr>
          <w:rtl w:val="0"/>
        </w:rPr>
      </w:r>
    </w:p>
    <w:p w:rsidR="00000000" w:rsidDel="00000000" w:rsidP="00000000" w:rsidRDefault="00000000" w:rsidRPr="00000000" w14:paraId="00000013">
      <w:pPr>
        <w:ind w:left="0" w:hanging="2"/>
        <w:rPr>
          <w:color w:val="0070c0"/>
        </w:rPr>
      </w:pPr>
      <w:r w:rsidDel="00000000" w:rsidR="00000000" w:rsidRPr="00000000">
        <w:rPr>
          <w:i w:val="1"/>
          <w:color w:val="0070c0"/>
          <w:rtl w:val="0"/>
        </w:rPr>
        <w:t xml:space="preserve">Note:  If more than 2,080 hours (one full-time equivalent) for a position are being requested, you must justify why more than one FTE is required.  </w:t>
      </w:r>
      <w:r w:rsidDel="00000000" w:rsidR="00000000" w:rsidRPr="00000000">
        <w:rPr>
          <w:rtl w:val="0"/>
        </w:rPr>
      </w:r>
    </w:p>
    <w:p w:rsidR="00000000" w:rsidDel="00000000" w:rsidP="00000000" w:rsidRDefault="00000000" w:rsidRPr="00000000" w14:paraId="00000014">
      <w:pPr>
        <w:ind w:left="0" w:hanging="2"/>
        <w:rPr>
          <w:u w:val="single"/>
        </w:rPr>
      </w:pPr>
      <w:r w:rsidDel="00000000" w:rsidR="00000000" w:rsidRPr="00000000">
        <w:rPr>
          <w:rtl w:val="0"/>
        </w:rPr>
      </w:r>
    </w:p>
    <w:p w:rsidR="00000000" w:rsidDel="00000000" w:rsidP="00000000" w:rsidRDefault="00000000" w:rsidRPr="00000000" w14:paraId="00000015">
      <w:pPr>
        <w:ind w:left="0" w:hanging="2"/>
        <w:rPr>
          <w:u w:val="single"/>
        </w:rPr>
      </w:pPr>
      <w:r w:rsidDel="00000000" w:rsidR="00000000" w:rsidRPr="00000000">
        <w:rPr>
          <w:u w:val="single"/>
          <w:rtl w:val="0"/>
        </w:rPr>
        <w:t xml:space="preserve">Justification and description of each position:</w:t>
      </w:r>
    </w:p>
    <w:p w:rsidR="00000000" w:rsidDel="00000000" w:rsidP="00000000" w:rsidRDefault="00000000" w:rsidRPr="00000000" w14:paraId="00000016">
      <w:pPr>
        <w:ind w:left="0" w:hanging="2"/>
        <w:rPr>
          <w:u w:val="single"/>
        </w:rPr>
      </w:pPr>
      <w:r w:rsidDel="00000000" w:rsidR="00000000" w:rsidRPr="00000000">
        <w:rPr>
          <w:rtl w:val="0"/>
        </w:rPr>
      </w:r>
    </w:p>
    <w:p w:rsidR="00000000" w:rsidDel="00000000" w:rsidP="00000000" w:rsidRDefault="00000000" w:rsidRPr="00000000" w14:paraId="00000017">
      <w:pPr>
        <w:ind w:left="0" w:hanging="2"/>
        <w:rPr>
          <w:u w:val="single"/>
        </w:rPr>
      </w:pPr>
      <w:r w:rsidDel="00000000" w:rsidR="00000000" w:rsidRPr="00000000">
        <w:rPr>
          <w:rtl w:val="0"/>
        </w:rPr>
      </w:r>
    </w:p>
    <w:p w:rsidR="00000000" w:rsidDel="00000000" w:rsidP="00000000" w:rsidRDefault="00000000" w:rsidRPr="00000000" w14:paraId="00000018">
      <w:pPr>
        <w:ind w:left="0" w:hanging="2"/>
        <w:rPr>
          <w:u w:val="single"/>
        </w:rPr>
      </w:pPr>
      <w:r w:rsidDel="00000000" w:rsidR="00000000" w:rsidRPr="00000000">
        <w:rPr>
          <w:rtl w:val="0"/>
        </w:rPr>
      </w:r>
    </w:p>
    <w:p w:rsidR="00000000" w:rsidDel="00000000" w:rsidP="00000000" w:rsidRDefault="00000000" w:rsidRPr="00000000" w14:paraId="00000019">
      <w:pPr>
        <w:ind w:left="0" w:hanging="2"/>
        <w:rPr>
          <w:u w:val="single"/>
        </w:rPr>
      </w:pPr>
      <w:r w:rsidDel="00000000" w:rsidR="00000000" w:rsidRPr="00000000">
        <w:rPr>
          <w:rtl w:val="0"/>
        </w:rPr>
      </w:r>
    </w:p>
    <w:p w:rsidR="00000000" w:rsidDel="00000000" w:rsidP="00000000" w:rsidRDefault="00000000" w:rsidRPr="00000000" w14:paraId="0000001A">
      <w:pPr>
        <w:ind w:left="0" w:hanging="2"/>
        <w:rPr>
          <w:u w:val="single"/>
        </w:rPr>
      </w:pPr>
      <w:r w:rsidDel="00000000" w:rsidR="00000000" w:rsidRPr="00000000">
        <w:rPr>
          <w:rtl w:val="0"/>
        </w:rPr>
      </w:r>
    </w:p>
    <w:p w:rsidR="00000000" w:rsidDel="00000000" w:rsidP="00000000" w:rsidRDefault="00000000" w:rsidRPr="00000000" w14:paraId="0000001B">
      <w:pPr>
        <w:ind w:left="0" w:hanging="2"/>
        <w:rPr>
          <w:u w:val="single"/>
        </w:rPr>
      </w:pPr>
      <w:r w:rsidDel="00000000" w:rsidR="00000000" w:rsidRPr="00000000">
        <w:rPr>
          <w:rtl w:val="0"/>
        </w:rPr>
      </w:r>
    </w:p>
    <w:p w:rsidR="00000000" w:rsidDel="00000000" w:rsidP="00000000" w:rsidRDefault="00000000" w:rsidRPr="00000000" w14:paraId="0000001C">
      <w:pPr>
        <w:ind w:left="0" w:hanging="2"/>
        <w:rPr>
          <w:u w:val="single"/>
        </w:rPr>
      </w:pPr>
      <w:r w:rsidDel="00000000" w:rsidR="00000000" w:rsidRPr="00000000">
        <w:rPr>
          <w:rtl w:val="0"/>
        </w:rPr>
      </w:r>
    </w:p>
    <w:p w:rsidR="00000000" w:rsidDel="00000000" w:rsidP="00000000" w:rsidRDefault="00000000" w:rsidRPr="00000000" w14:paraId="0000001D">
      <w:pPr>
        <w:ind w:left="0" w:hanging="2"/>
        <w:rPr>
          <w:u w:val="single"/>
        </w:rPr>
      </w:pPr>
      <w:r w:rsidDel="00000000" w:rsidR="00000000" w:rsidRPr="00000000">
        <w:rPr>
          <w:rtl w:val="0"/>
        </w:rPr>
      </w:r>
    </w:p>
    <w:p w:rsidR="00000000" w:rsidDel="00000000" w:rsidP="00000000" w:rsidRDefault="00000000" w:rsidRPr="00000000" w14:paraId="0000001E">
      <w:pPr>
        <w:ind w:left="0" w:hanging="2"/>
        <w:rPr>
          <w:u w:val="single"/>
        </w:rPr>
      </w:pPr>
      <w:r w:rsidDel="00000000" w:rsidR="00000000" w:rsidRPr="00000000">
        <w:rPr>
          <w:rtl w:val="0"/>
        </w:rPr>
      </w:r>
    </w:p>
    <w:p w:rsidR="00000000" w:rsidDel="00000000" w:rsidP="00000000" w:rsidRDefault="00000000" w:rsidRPr="00000000" w14:paraId="0000001F">
      <w:pPr>
        <w:ind w:left="0" w:hanging="2"/>
        <w:rPr>
          <w:u w:val="single"/>
        </w:rPr>
      </w:pPr>
      <w:r w:rsidDel="00000000" w:rsidR="00000000" w:rsidRPr="00000000">
        <w:rPr>
          <w:rtl w:val="0"/>
        </w:rPr>
      </w:r>
    </w:p>
    <w:p w:rsidR="00000000" w:rsidDel="00000000" w:rsidP="00000000" w:rsidRDefault="00000000" w:rsidRPr="00000000" w14:paraId="00000020">
      <w:pPr>
        <w:ind w:left="0" w:hanging="2"/>
        <w:rPr>
          <w:u w:val="single"/>
        </w:rPr>
      </w:pPr>
      <w:r w:rsidDel="00000000" w:rsidR="00000000" w:rsidRPr="00000000">
        <w:rPr>
          <w:rtl w:val="0"/>
        </w:rPr>
      </w:r>
    </w:p>
    <w:p w:rsidR="00000000" w:rsidDel="00000000" w:rsidP="00000000" w:rsidRDefault="00000000" w:rsidRPr="00000000" w14:paraId="00000021">
      <w:pPr>
        <w:ind w:left="0" w:hanging="2"/>
        <w:rPr>
          <w:u w:val="single"/>
        </w:rPr>
      </w:pPr>
      <w:r w:rsidDel="00000000" w:rsidR="00000000" w:rsidRPr="00000000">
        <w:rPr>
          <w:rtl w:val="0"/>
        </w:rPr>
      </w:r>
    </w:p>
    <w:p w:rsidR="00000000" w:rsidDel="00000000" w:rsidP="00000000" w:rsidRDefault="00000000" w:rsidRPr="00000000" w14:paraId="00000022">
      <w:pPr>
        <w:ind w:left="0" w:hanging="2"/>
        <w:rPr>
          <w:u w:val="single"/>
        </w:rPr>
      </w:pPr>
      <w:r w:rsidDel="00000000" w:rsidR="00000000" w:rsidRPr="00000000">
        <w:rPr>
          <w:rtl w:val="0"/>
        </w:rPr>
      </w:r>
    </w:p>
    <w:p w:rsidR="00000000" w:rsidDel="00000000" w:rsidP="00000000" w:rsidRDefault="00000000" w:rsidRPr="00000000" w14:paraId="00000023">
      <w:pPr>
        <w:ind w:left="0" w:hanging="2"/>
        <w:rPr>
          <w:u w:val="single"/>
        </w:rPr>
      </w:pPr>
      <w:r w:rsidDel="00000000" w:rsidR="00000000" w:rsidRPr="00000000">
        <w:rPr>
          <w:rtl w:val="0"/>
        </w:rPr>
      </w:r>
    </w:p>
    <w:p w:rsidR="00000000" w:rsidDel="00000000" w:rsidP="00000000" w:rsidRDefault="00000000" w:rsidRPr="00000000" w14:paraId="00000024">
      <w:pPr>
        <w:ind w:left="0" w:hanging="2"/>
        <w:rPr>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25">
      <w:pPr>
        <w:ind w:left="0" w:hanging="2"/>
        <w:rPr>
          <w:u w:val="single"/>
        </w:rPr>
      </w:pPr>
      <w:r w:rsidDel="00000000" w:rsidR="00000000" w:rsidRPr="00000000">
        <w:rPr>
          <w:rtl w:val="0"/>
        </w:rPr>
      </w:r>
    </w:p>
    <w:p w:rsidR="00000000" w:rsidDel="00000000" w:rsidP="00000000" w:rsidRDefault="00000000" w:rsidRPr="00000000" w14:paraId="00000026">
      <w:pPr>
        <w:ind w:left="0" w:hanging="2"/>
        <w:rPr>
          <w:u w:val="single"/>
        </w:rPr>
      </w:pPr>
      <w:r w:rsidDel="00000000" w:rsidR="00000000" w:rsidRPr="00000000">
        <w:rPr>
          <w:rtl w:val="0"/>
        </w:rPr>
      </w:r>
    </w:p>
    <w:p w:rsidR="00000000" w:rsidDel="00000000" w:rsidP="00000000" w:rsidRDefault="00000000" w:rsidRPr="00000000" w14:paraId="00000027">
      <w:pPr>
        <w:ind w:left="0" w:hanging="2"/>
        <w:rPr>
          <w:u w:val="single"/>
        </w:rPr>
      </w:pPr>
      <w:r w:rsidDel="00000000" w:rsidR="00000000" w:rsidRPr="00000000">
        <w:rPr>
          <w:rtl w:val="0"/>
        </w:rPr>
      </w:r>
    </w:p>
    <w:p w:rsidR="00000000" w:rsidDel="00000000" w:rsidP="00000000" w:rsidRDefault="00000000" w:rsidRPr="00000000" w14:paraId="00000028">
      <w:pPr>
        <w:ind w:left="0" w:hanging="2"/>
        <w:rPr>
          <w:u w:val="single"/>
        </w:rPr>
      </w:pPr>
      <w:r w:rsidDel="00000000" w:rsidR="00000000" w:rsidRPr="00000000">
        <w:rPr>
          <w:rtl w:val="0"/>
        </w:rPr>
      </w:r>
    </w:p>
    <w:p w:rsidR="00000000" w:rsidDel="00000000" w:rsidP="00000000" w:rsidRDefault="00000000" w:rsidRPr="00000000" w14:paraId="00000029">
      <w:pPr>
        <w:ind w:left="0" w:hanging="2"/>
        <w:rPr>
          <w:u w:val="single"/>
        </w:rPr>
      </w:pPr>
      <w:r w:rsidDel="00000000" w:rsidR="00000000" w:rsidRPr="00000000">
        <w:rPr>
          <w:rtl w:val="0"/>
        </w:rPr>
      </w:r>
    </w:p>
    <w:p w:rsidR="00000000" w:rsidDel="00000000" w:rsidP="00000000" w:rsidRDefault="00000000" w:rsidRPr="00000000" w14:paraId="0000002A">
      <w:pPr>
        <w:ind w:left="0" w:hanging="2"/>
        <w:rPr>
          <w:u w:val="single"/>
        </w:rPr>
      </w:pPr>
      <w:r w:rsidDel="00000000" w:rsidR="00000000" w:rsidRPr="00000000">
        <w:rPr>
          <w:rtl w:val="0"/>
        </w:rPr>
      </w:r>
    </w:p>
    <w:p w:rsidR="00000000" w:rsidDel="00000000" w:rsidP="00000000" w:rsidRDefault="00000000" w:rsidRPr="00000000" w14:paraId="0000002B">
      <w:pPr>
        <w:ind w:left="0" w:hanging="2"/>
        <w:rPr>
          <w:u w:val="single"/>
        </w:rPr>
      </w:pPr>
      <w:r w:rsidDel="00000000" w:rsidR="00000000" w:rsidRPr="00000000">
        <w:rPr>
          <w:rtl w:val="0"/>
        </w:rPr>
      </w:r>
    </w:p>
    <w:p w:rsidR="00000000" w:rsidDel="00000000" w:rsidP="00000000" w:rsidRDefault="00000000" w:rsidRPr="00000000" w14:paraId="0000002C">
      <w:pPr>
        <w:ind w:left="0" w:hanging="2"/>
        <w:rPr>
          <w:u w:val="single"/>
        </w:rPr>
      </w:pPr>
      <w:r w:rsidDel="00000000" w:rsidR="00000000" w:rsidRPr="00000000">
        <w:rPr>
          <w:u w:val="single"/>
          <w:rtl w:val="0"/>
        </w:rPr>
        <w:t xml:space="preserve">Fringe Benefits</w:t>
      </w:r>
    </w:p>
    <w:p w:rsidR="00000000" w:rsidDel="00000000" w:rsidP="00000000" w:rsidRDefault="00000000" w:rsidRPr="00000000" w14:paraId="0000002D">
      <w:pPr>
        <w:ind w:left="0" w:hanging="2"/>
        <w:rPr>
          <w:u w:val="single"/>
        </w:rPr>
      </w:pPr>
      <w:r w:rsidDel="00000000" w:rsidR="00000000" w:rsidRPr="00000000">
        <w:rPr>
          <w:rtl w:val="0"/>
        </w:rPr>
      </w:r>
    </w:p>
    <w:p w:rsidR="00000000" w:rsidDel="00000000" w:rsidP="00000000" w:rsidRDefault="00000000" w:rsidRPr="00000000" w14:paraId="0000002E">
      <w:pPr>
        <w:ind w:left="0" w:hanging="2"/>
        <w:rPr>
          <w:color w:val="0070c0"/>
        </w:rPr>
      </w:pPr>
      <w:r w:rsidDel="00000000" w:rsidR="00000000" w:rsidRPr="00000000">
        <w:rPr>
          <w:color w:val="0070c0"/>
          <w:rtl w:val="0"/>
        </w:rPr>
        <w:t xml:space="preserve">Fringe benefits are usually applicable to direct salaries and wages. </w:t>
      </w:r>
    </w:p>
    <w:p w:rsidR="00000000" w:rsidDel="00000000" w:rsidP="00000000" w:rsidRDefault="00000000" w:rsidRPr="00000000" w14:paraId="0000002F">
      <w:pPr>
        <w:ind w:left="0" w:hanging="2"/>
        <w:rPr>
          <w:color w:val="0070c0"/>
        </w:rPr>
      </w:pPr>
      <w:r w:rsidDel="00000000" w:rsidR="00000000" w:rsidRPr="00000000">
        <w:rPr>
          <w:rtl w:val="0"/>
        </w:rPr>
      </w:r>
    </w:p>
    <w:p w:rsidR="00000000" w:rsidDel="00000000" w:rsidP="00000000" w:rsidRDefault="00000000" w:rsidRPr="00000000" w14:paraId="00000030">
      <w:pPr>
        <w:ind w:left="0" w:hanging="2"/>
        <w:rPr>
          <w:color w:val="0070c0"/>
        </w:rPr>
      </w:pPr>
      <w:r w:rsidDel="00000000" w:rsidR="00000000" w:rsidRPr="00000000">
        <w:rPr>
          <w:color w:val="0070c0"/>
          <w:rtl w:val="0"/>
        </w:rPr>
        <w:t xml:space="preserve">If a fringe rate is greater than 35%, a description and breakdown of the benefits must be provided (detail on this page below) unless a negotiated indirect cost rate agreement (NICRA) has been provided </w:t>
      </w:r>
      <w:r w:rsidDel="00000000" w:rsidR="00000000" w:rsidRPr="00000000">
        <w:rPr>
          <w:i w:val="1"/>
          <w:color w:val="0070c0"/>
          <w:rtl w:val="0"/>
        </w:rPr>
        <w:t xml:space="preserve">and where the NICRA describes fringe benefits rates</w:t>
      </w:r>
      <w:r w:rsidDel="00000000" w:rsidR="00000000" w:rsidRPr="00000000">
        <w:rPr>
          <w:color w:val="0070c0"/>
          <w:rtl w:val="0"/>
        </w:rPr>
        <w:t xml:space="preserve">. </w:t>
      </w:r>
    </w:p>
    <w:p w:rsidR="00000000" w:rsidDel="00000000" w:rsidP="00000000" w:rsidRDefault="00000000" w:rsidRPr="00000000" w14:paraId="00000031">
      <w:pPr>
        <w:ind w:left="0" w:hanging="2"/>
        <w:rPr>
          <w:color w:val="0070c0"/>
        </w:rPr>
      </w:pPr>
      <w:r w:rsidDel="00000000" w:rsidR="00000000" w:rsidRPr="00000000">
        <w:rPr>
          <w:rtl w:val="0"/>
        </w:rPr>
      </w:r>
    </w:p>
    <w:p w:rsidR="00000000" w:rsidDel="00000000" w:rsidP="00000000" w:rsidRDefault="00000000" w:rsidRPr="00000000" w14:paraId="00000032">
      <w:pPr>
        <w:ind w:left="0" w:hanging="2"/>
        <w:rPr>
          <w:color w:val="0070c0"/>
        </w:rPr>
      </w:pPr>
      <w:r w:rsidDel="00000000" w:rsidR="00000000" w:rsidRPr="00000000">
        <w:rPr>
          <w:color w:val="0070c0"/>
          <w:rtl w:val="0"/>
        </w:rPr>
        <w:t xml:space="preserve">If fringe benefits are not computed by using a percent of salaries, provide a breakdown of how the computation is done and manually adjust column H from a percentage to whole numbers, and adjust the cells in Column I to add rather than multiply against a rate. </w:t>
      </w:r>
    </w:p>
    <w:p w:rsidR="00000000" w:rsidDel="00000000" w:rsidP="00000000" w:rsidRDefault="00000000" w:rsidRPr="00000000" w14:paraId="00000033">
      <w:pPr>
        <w:ind w:left="0" w:hanging="2"/>
        <w:rPr>
          <w:color w:val="0070c0"/>
        </w:rPr>
      </w:pPr>
      <w:r w:rsidDel="00000000" w:rsidR="00000000" w:rsidRPr="00000000">
        <w:rPr>
          <w:rtl w:val="0"/>
        </w:rPr>
      </w:r>
    </w:p>
    <w:p w:rsidR="00000000" w:rsidDel="00000000" w:rsidP="00000000" w:rsidRDefault="00000000" w:rsidRPr="00000000" w14:paraId="00000034">
      <w:pPr>
        <w:ind w:left="0" w:hanging="2"/>
        <w:rPr>
          <w:color w:val="0070c0"/>
        </w:rPr>
      </w:pPr>
      <w:r w:rsidDel="00000000" w:rsidR="00000000" w:rsidRPr="00000000">
        <w:rPr>
          <w:color w:val="0070c0"/>
          <w:rtl w:val="0"/>
        </w:rPr>
        <w:t xml:space="preserve">The applicant should not combine the fringe benefit costs with direct salaries and wages in the personnel category.</w:t>
      </w:r>
    </w:p>
    <w:p w:rsidR="00000000" w:rsidDel="00000000" w:rsidP="00000000" w:rsidRDefault="00000000" w:rsidRPr="00000000" w14:paraId="00000035">
      <w:pPr>
        <w:ind w:left="0" w:hanging="2"/>
        <w:rPr>
          <w:u w:val="single"/>
        </w:rPr>
      </w:pPr>
      <w:r w:rsidDel="00000000" w:rsidR="00000000" w:rsidRPr="00000000">
        <w:rPr>
          <w:rtl w:val="0"/>
        </w:rPr>
      </w:r>
    </w:p>
    <w:p w:rsidR="00000000" w:rsidDel="00000000" w:rsidP="00000000" w:rsidRDefault="00000000" w:rsidRPr="00000000" w14:paraId="00000036">
      <w:pPr>
        <w:ind w:left="0" w:hanging="2"/>
        <w:rPr/>
      </w:pPr>
      <w:r w:rsidDel="00000000" w:rsidR="00000000" w:rsidRPr="00000000">
        <w:rPr>
          <w:rtl w:val="0"/>
        </w:rPr>
        <w:t xml:space="preserve">Explanation/notes as necessary:</w:t>
      </w:r>
    </w:p>
    <w:p w:rsidR="00000000" w:rsidDel="00000000" w:rsidP="00000000" w:rsidRDefault="00000000" w:rsidRPr="00000000" w14:paraId="00000037">
      <w:pPr>
        <w:ind w:left="0" w:hanging="2"/>
        <w:rPr>
          <w:u w:val="single"/>
        </w:rPr>
      </w:pPr>
      <w:r w:rsidDel="00000000" w:rsidR="00000000" w:rsidRPr="00000000">
        <w:rPr>
          <w:rtl w:val="0"/>
        </w:rPr>
      </w:r>
    </w:p>
    <w:p w:rsidR="00000000" w:rsidDel="00000000" w:rsidP="00000000" w:rsidRDefault="00000000" w:rsidRPr="00000000" w14:paraId="00000038">
      <w:pPr>
        <w:ind w:left="0" w:hanging="2"/>
        <w:rPr>
          <w:u w:val="single"/>
        </w:rPr>
      </w:pPr>
      <w:r w:rsidDel="00000000" w:rsidR="00000000" w:rsidRPr="00000000">
        <w:rPr>
          <w:rtl w:val="0"/>
        </w:rPr>
      </w:r>
    </w:p>
    <w:p w:rsidR="00000000" w:rsidDel="00000000" w:rsidP="00000000" w:rsidRDefault="00000000" w:rsidRPr="00000000" w14:paraId="00000039">
      <w:pPr>
        <w:ind w:left="0" w:hanging="2"/>
        <w:rPr>
          <w:u w:val="single"/>
        </w:rPr>
      </w:pPr>
      <w:r w:rsidDel="00000000" w:rsidR="00000000" w:rsidRPr="00000000">
        <w:rPr>
          <w:rtl w:val="0"/>
        </w:rPr>
      </w:r>
    </w:p>
    <w:p w:rsidR="00000000" w:rsidDel="00000000" w:rsidP="00000000" w:rsidRDefault="00000000" w:rsidRPr="00000000" w14:paraId="0000003A">
      <w:pPr>
        <w:ind w:left="0" w:hanging="2"/>
        <w:rPr>
          <w:u w:val="single"/>
        </w:rPr>
      </w:pPr>
      <w:r w:rsidDel="00000000" w:rsidR="00000000" w:rsidRPr="00000000">
        <w:rPr>
          <w:rtl w:val="0"/>
        </w:rPr>
      </w:r>
    </w:p>
    <w:p w:rsidR="00000000" w:rsidDel="00000000" w:rsidP="00000000" w:rsidRDefault="00000000" w:rsidRPr="00000000" w14:paraId="0000003B">
      <w:pPr>
        <w:ind w:left="0" w:hanging="2"/>
        <w:rPr>
          <w:u w:val="single"/>
        </w:rPr>
      </w:pPr>
      <w:r w:rsidDel="00000000" w:rsidR="00000000" w:rsidRPr="00000000">
        <w:rPr>
          <w:rtl w:val="0"/>
        </w:rPr>
      </w:r>
    </w:p>
    <w:p w:rsidR="00000000" w:rsidDel="00000000" w:rsidP="00000000" w:rsidRDefault="00000000" w:rsidRPr="00000000" w14:paraId="0000003C">
      <w:pPr>
        <w:ind w:left="0" w:hanging="2"/>
        <w:rPr>
          <w:u w:val="single"/>
        </w:rPr>
      </w:pPr>
      <w:r w:rsidDel="00000000" w:rsidR="00000000" w:rsidRPr="00000000">
        <w:rPr>
          <w:rtl w:val="0"/>
        </w:rPr>
      </w:r>
    </w:p>
    <w:p w:rsidR="00000000" w:rsidDel="00000000" w:rsidP="00000000" w:rsidRDefault="00000000" w:rsidRPr="00000000" w14:paraId="0000003D">
      <w:pPr>
        <w:ind w:left="0" w:hanging="2"/>
        <w:rPr>
          <w:u w:val="single"/>
        </w:rPr>
      </w:pPr>
      <w:r w:rsidDel="00000000" w:rsidR="00000000" w:rsidRPr="00000000">
        <w:rPr>
          <w:rtl w:val="0"/>
        </w:rPr>
      </w:r>
    </w:p>
    <w:p w:rsidR="00000000" w:rsidDel="00000000" w:rsidP="00000000" w:rsidRDefault="00000000" w:rsidRPr="00000000" w14:paraId="0000003E">
      <w:pPr>
        <w:ind w:left="0" w:hanging="2"/>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3F">
      <w:pPr>
        <w:ind w:left="0" w:hanging="2"/>
        <w:rPr>
          <w:u w:val="single"/>
        </w:rPr>
      </w:pPr>
      <w:r w:rsidDel="00000000" w:rsidR="00000000" w:rsidRPr="00000000">
        <w:rPr>
          <w:u w:val="single"/>
          <w:rtl w:val="0"/>
        </w:rPr>
        <w:t xml:space="preserve">Travel</w:t>
      </w:r>
    </w:p>
    <w:p w:rsidR="00000000" w:rsidDel="00000000" w:rsidP="00000000" w:rsidRDefault="00000000" w:rsidRPr="00000000" w14:paraId="00000040">
      <w:pPr>
        <w:ind w:left="0" w:hanging="2"/>
        <w:rPr>
          <w:u w:val="singl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color w:val="0070c0"/>
        </w:rPr>
      </w:pPr>
      <w:r w:rsidDel="00000000" w:rsidR="00000000" w:rsidRPr="00000000">
        <w:rPr>
          <w:color w:val="0070c0"/>
          <w:rtl w:val="0"/>
        </w:rPr>
        <w:t xml:space="preserve">Provide any additional detail about travel that may be perceived as unusual.  </w:t>
      </w:r>
      <w:r w:rsidDel="00000000" w:rsidR="00000000" w:rsidRPr="00000000">
        <w:rPr>
          <w:b w:val="1"/>
          <w:i w:val="1"/>
          <w:color w:val="0070c0"/>
          <w:rtl w:val="0"/>
        </w:rPr>
        <w:t xml:space="preserve">Do not duplicate cost breakdown already in the spreadsheet</w:t>
      </w:r>
      <w:r w:rsidDel="00000000" w:rsidR="00000000" w:rsidRPr="00000000">
        <w:rPr>
          <w:b w:val="1"/>
          <w:color w:val="0070c0"/>
          <w:rtl w:val="0"/>
        </w:rPr>
        <w:t xml:space="preserve">.</w:t>
      </w:r>
      <w:r w:rsidDel="00000000" w:rsidR="00000000" w:rsidRPr="00000000">
        <w:rPr>
          <w:color w:val="0070c0"/>
          <w:rtl w:val="0"/>
        </w:rPr>
        <w:t xml:space="preserve">  Only add detail here for anything that may be considered unusual or requires justification.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color w:val="0070c0"/>
        </w:rPr>
      </w:pPr>
      <w:r w:rsidDel="00000000" w:rsidR="00000000" w:rsidRPr="00000000">
        <w:rPr>
          <w:rtl w:val="0"/>
        </w:rPr>
      </w:r>
    </w:p>
    <w:p w:rsidR="00000000" w:rsidDel="00000000" w:rsidP="00000000" w:rsidRDefault="00000000" w:rsidRPr="00000000" w14:paraId="00000043">
      <w:pPr>
        <w:ind w:left="0" w:hanging="2"/>
        <w:rPr>
          <w:color w:val="0070c0"/>
        </w:rPr>
      </w:pPr>
      <w:r w:rsidDel="00000000" w:rsidR="00000000" w:rsidRPr="00000000">
        <w:rPr>
          <w:color w:val="0070c0"/>
          <w:rtl w:val="0"/>
        </w:rPr>
        <w:t xml:space="preserve">Note:  Foreign travel is not authorized. Travel between American Samoa and Samoa is allowed; travel to the U.S. mainland via airports in non-U.S. countries is also allowed if such travel provides the lowest cost.</w:t>
      </w:r>
    </w:p>
    <w:p w:rsidR="00000000" w:rsidDel="00000000" w:rsidP="00000000" w:rsidRDefault="00000000" w:rsidRPr="00000000" w14:paraId="00000044">
      <w:pPr>
        <w:ind w:left="0" w:hanging="2"/>
        <w:rPr/>
      </w:pPr>
      <w:r w:rsidDel="00000000" w:rsidR="00000000" w:rsidRPr="00000000">
        <w:rPr>
          <w:rtl w:val="0"/>
        </w:rPr>
      </w:r>
    </w:p>
    <w:p w:rsidR="00000000" w:rsidDel="00000000" w:rsidP="00000000" w:rsidRDefault="00000000" w:rsidRPr="00000000" w14:paraId="00000045">
      <w:pPr>
        <w:ind w:left="0" w:hanging="2"/>
        <w:rPr/>
      </w:pPr>
      <w:r w:rsidDel="00000000" w:rsidR="00000000" w:rsidRPr="00000000">
        <w:rPr>
          <w:rtl w:val="0"/>
        </w:rPr>
        <w:t xml:space="preserve">Additional detail (if applicable):</w:t>
      </w:r>
    </w:p>
    <w:p w:rsidR="00000000" w:rsidDel="00000000" w:rsidP="00000000" w:rsidRDefault="00000000" w:rsidRPr="00000000" w14:paraId="00000046">
      <w:pPr>
        <w:ind w:left="0" w:hanging="2"/>
        <w:rPr>
          <w:u w:val="single"/>
        </w:rPr>
      </w:pPr>
      <w:r w:rsidDel="00000000" w:rsidR="00000000" w:rsidRPr="00000000">
        <w:rPr>
          <w:rtl w:val="0"/>
        </w:rPr>
      </w:r>
    </w:p>
    <w:p w:rsidR="00000000" w:rsidDel="00000000" w:rsidP="00000000" w:rsidRDefault="00000000" w:rsidRPr="00000000" w14:paraId="00000047">
      <w:pPr>
        <w:ind w:left="0" w:hanging="2"/>
        <w:rPr>
          <w:u w:val="single"/>
        </w:rPr>
      </w:pPr>
      <w:r w:rsidDel="00000000" w:rsidR="00000000" w:rsidRPr="00000000">
        <w:rPr>
          <w:rtl w:val="0"/>
        </w:rPr>
      </w:r>
    </w:p>
    <w:p w:rsidR="00000000" w:rsidDel="00000000" w:rsidP="00000000" w:rsidRDefault="00000000" w:rsidRPr="00000000" w14:paraId="00000048">
      <w:pPr>
        <w:ind w:left="0" w:hanging="2"/>
        <w:rPr>
          <w:u w:val="single"/>
        </w:rPr>
      </w:pPr>
      <w:r w:rsidDel="00000000" w:rsidR="00000000" w:rsidRPr="00000000">
        <w:rPr>
          <w:rtl w:val="0"/>
        </w:rPr>
      </w:r>
    </w:p>
    <w:p w:rsidR="00000000" w:rsidDel="00000000" w:rsidP="00000000" w:rsidRDefault="00000000" w:rsidRPr="00000000" w14:paraId="00000049">
      <w:pPr>
        <w:ind w:left="0" w:hanging="2"/>
        <w:rPr>
          <w:u w:val="single"/>
        </w:rPr>
      </w:pPr>
      <w:r w:rsidDel="00000000" w:rsidR="00000000" w:rsidRPr="00000000">
        <w:rPr>
          <w:rtl w:val="0"/>
        </w:rPr>
      </w:r>
    </w:p>
    <w:p w:rsidR="00000000" w:rsidDel="00000000" w:rsidP="00000000" w:rsidRDefault="00000000" w:rsidRPr="00000000" w14:paraId="0000004A">
      <w:pPr>
        <w:ind w:left="0" w:hanging="2"/>
        <w:rPr>
          <w:u w:val="single"/>
        </w:rPr>
      </w:pPr>
      <w:r w:rsidDel="00000000" w:rsidR="00000000" w:rsidRPr="00000000">
        <w:rPr>
          <w:rtl w:val="0"/>
        </w:rPr>
      </w:r>
    </w:p>
    <w:p w:rsidR="00000000" w:rsidDel="00000000" w:rsidP="00000000" w:rsidRDefault="00000000" w:rsidRPr="00000000" w14:paraId="0000004B">
      <w:pPr>
        <w:ind w:left="0" w:hanging="2"/>
        <w:rPr>
          <w:u w:val="single"/>
        </w:rPr>
      </w:pPr>
      <w:r w:rsidDel="00000000" w:rsidR="00000000" w:rsidRPr="00000000">
        <w:rPr>
          <w:rtl w:val="0"/>
        </w:rPr>
      </w:r>
    </w:p>
    <w:p w:rsidR="00000000" w:rsidDel="00000000" w:rsidP="00000000" w:rsidRDefault="00000000" w:rsidRPr="00000000" w14:paraId="0000004C">
      <w:pPr>
        <w:ind w:left="0" w:hanging="2"/>
        <w:rPr>
          <w:u w:val="single"/>
        </w:rPr>
      </w:pPr>
      <w:r w:rsidDel="00000000" w:rsidR="00000000" w:rsidRPr="00000000">
        <w:rPr>
          <w:rtl w:val="0"/>
        </w:rPr>
      </w:r>
    </w:p>
    <w:p w:rsidR="00000000" w:rsidDel="00000000" w:rsidP="00000000" w:rsidRDefault="00000000" w:rsidRPr="00000000" w14:paraId="0000004D">
      <w:pPr>
        <w:ind w:left="0" w:hanging="2"/>
        <w:rPr>
          <w:u w:val="single"/>
        </w:rPr>
      </w:pPr>
      <w:r w:rsidDel="00000000" w:rsidR="00000000" w:rsidRPr="00000000">
        <w:rPr>
          <w:rtl w:val="0"/>
        </w:rPr>
      </w:r>
    </w:p>
    <w:p w:rsidR="00000000" w:rsidDel="00000000" w:rsidP="00000000" w:rsidRDefault="00000000" w:rsidRPr="00000000" w14:paraId="0000004E">
      <w:pPr>
        <w:ind w:left="0" w:hanging="2"/>
        <w:rPr>
          <w:u w:val="single"/>
        </w:rPr>
      </w:pPr>
      <w:r w:rsidDel="00000000" w:rsidR="00000000" w:rsidRPr="00000000">
        <w:rPr>
          <w:rtl w:val="0"/>
        </w:rPr>
      </w:r>
    </w:p>
    <w:p w:rsidR="00000000" w:rsidDel="00000000" w:rsidP="00000000" w:rsidRDefault="00000000" w:rsidRPr="00000000" w14:paraId="0000004F">
      <w:pPr>
        <w:ind w:left="0" w:hanging="2"/>
        <w:rPr>
          <w:u w:val="single"/>
        </w:rPr>
      </w:pPr>
      <w:r w:rsidDel="00000000" w:rsidR="00000000" w:rsidRPr="00000000">
        <w:rPr>
          <w:rtl w:val="0"/>
        </w:rPr>
      </w:r>
    </w:p>
    <w:p w:rsidR="00000000" w:rsidDel="00000000" w:rsidP="00000000" w:rsidRDefault="00000000" w:rsidRPr="00000000" w14:paraId="00000050">
      <w:pPr>
        <w:ind w:left="0" w:hanging="2"/>
        <w:rPr>
          <w:u w:val="single"/>
        </w:rPr>
      </w:pPr>
      <w:r w:rsidDel="00000000" w:rsidR="00000000" w:rsidRPr="00000000">
        <w:rPr>
          <w:rtl w:val="0"/>
        </w:rPr>
      </w:r>
    </w:p>
    <w:p w:rsidR="00000000" w:rsidDel="00000000" w:rsidP="00000000" w:rsidRDefault="00000000" w:rsidRPr="00000000" w14:paraId="00000051">
      <w:pPr>
        <w:ind w:left="0" w:hanging="2"/>
        <w:rPr>
          <w:u w:val="single"/>
        </w:rPr>
      </w:pPr>
      <w:r w:rsidDel="00000000" w:rsidR="00000000" w:rsidRPr="00000000">
        <w:rPr>
          <w:rtl w:val="0"/>
        </w:rPr>
      </w:r>
    </w:p>
    <w:p w:rsidR="00000000" w:rsidDel="00000000" w:rsidP="00000000" w:rsidRDefault="00000000" w:rsidRPr="00000000" w14:paraId="00000052">
      <w:pPr>
        <w:ind w:left="0" w:hanging="2"/>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53">
      <w:pPr>
        <w:ind w:left="0" w:hanging="2"/>
        <w:rPr>
          <w:u w:val="single"/>
        </w:rPr>
      </w:pPr>
      <w:r w:rsidDel="00000000" w:rsidR="00000000" w:rsidRPr="00000000">
        <w:rPr>
          <w:u w:val="single"/>
          <w:rtl w:val="0"/>
        </w:rPr>
        <w:t xml:space="preserve">Equipment</w:t>
      </w:r>
    </w:p>
    <w:p w:rsidR="00000000" w:rsidDel="00000000" w:rsidP="00000000" w:rsidRDefault="00000000" w:rsidRPr="00000000" w14:paraId="00000054">
      <w:pPr>
        <w:ind w:left="0" w:hanging="2"/>
        <w:rPr>
          <w:u w:val="single"/>
        </w:rPr>
      </w:pPr>
      <w:r w:rsidDel="00000000" w:rsidR="00000000" w:rsidRPr="00000000">
        <w:rPr>
          <w:rtl w:val="0"/>
        </w:rPr>
      </w:r>
    </w:p>
    <w:p w:rsidR="00000000" w:rsidDel="00000000" w:rsidP="00000000" w:rsidRDefault="00000000" w:rsidRPr="00000000" w14:paraId="00000055">
      <w:pPr>
        <w:ind w:left="0" w:hanging="2"/>
        <w:rPr>
          <w:color w:val="0070c0"/>
        </w:rPr>
      </w:pPr>
      <w:r w:rsidDel="00000000" w:rsidR="00000000" w:rsidRPr="00000000">
        <w:rPr>
          <w:color w:val="0070c0"/>
          <w:rtl w:val="0"/>
        </w:rPr>
        <w:t xml:space="preserve">Note:  Equipment is defined as an article of </w:t>
      </w:r>
      <w:r w:rsidDel="00000000" w:rsidR="00000000" w:rsidRPr="00000000">
        <w:rPr>
          <w:b w:val="1"/>
          <w:color w:val="0070c0"/>
          <w:rtl w:val="0"/>
        </w:rPr>
        <w:t xml:space="preserve">tangible property</w:t>
      </w:r>
      <w:r w:rsidDel="00000000" w:rsidR="00000000" w:rsidRPr="00000000">
        <w:rPr>
          <w:color w:val="0070c0"/>
          <w:rtl w:val="0"/>
        </w:rPr>
        <w:t xml:space="preserve"> that has a useful life of </w:t>
      </w:r>
      <w:r w:rsidDel="00000000" w:rsidR="00000000" w:rsidRPr="00000000">
        <w:rPr>
          <w:b w:val="1"/>
          <w:color w:val="0070c0"/>
          <w:rtl w:val="0"/>
        </w:rPr>
        <w:t xml:space="preserve">more than one year</w:t>
      </w:r>
      <w:r w:rsidDel="00000000" w:rsidR="00000000" w:rsidRPr="00000000">
        <w:rPr>
          <w:color w:val="0070c0"/>
          <w:rtl w:val="0"/>
        </w:rPr>
        <w:t xml:space="preserve"> and a per-unit acquisition cost which equals or exceeds the lesser of the capitalization level established by the non-Federal entity for financial statement purposes, or </w:t>
      </w:r>
      <w:r w:rsidDel="00000000" w:rsidR="00000000" w:rsidRPr="00000000">
        <w:rPr>
          <w:b w:val="1"/>
          <w:color w:val="0070c0"/>
          <w:rtl w:val="0"/>
        </w:rPr>
        <w:t xml:space="preserve">$5,000. </w:t>
      </w:r>
      <w:r w:rsidDel="00000000" w:rsidR="00000000" w:rsidRPr="00000000">
        <w:rPr>
          <w:rtl w:val="0"/>
        </w:rPr>
      </w:r>
    </w:p>
    <w:p w:rsidR="00000000" w:rsidDel="00000000" w:rsidP="00000000" w:rsidRDefault="00000000" w:rsidRPr="00000000" w14:paraId="00000056">
      <w:pPr>
        <w:ind w:left="0" w:hanging="2"/>
        <w:rPr/>
      </w:pPr>
      <w:r w:rsidDel="00000000" w:rsidR="00000000" w:rsidRPr="00000000">
        <w:rPr>
          <w:rtl w:val="0"/>
        </w:rPr>
      </w:r>
    </w:p>
    <w:p w:rsidR="00000000" w:rsidDel="00000000" w:rsidP="00000000" w:rsidRDefault="00000000" w:rsidRPr="00000000" w14:paraId="00000057">
      <w:pPr>
        <w:ind w:left="0" w:hanging="2"/>
        <w:rPr>
          <w:color w:val="0070c0"/>
        </w:rPr>
      </w:pPr>
      <w:r w:rsidDel="00000000" w:rsidR="00000000" w:rsidRPr="00000000">
        <w:rPr>
          <w:b w:val="1"/>
          <w:color w:val="0070c0"/>
          <w:rtl w:val="0"/>
        </w:rPr>
        <w:t xml:space="preserve">Provide a lease versus purchase analysis. This must accompany every equipment request over $5,000 </w:t>
      </w:r>
      <w:r w:rsidDel="00000000" w:rsidR="00000000" w:rsidRPr="00000000">
        <w:rPr>
          <w:color w:val="0070c0"/>
          <w:rtl w:val="0"/>
        </w:rPr>
        <w:t xml:space="preserve">even if a lease vs purchase analysis cannot be completed, a statement is required to that effect.</w:t>
      </w:r>
    </w:p>
    <w:p w:rsidR="00000000" w:rsidDel="00000000" w:rsidP="00000000" w:rsidRDefault="00000000" w:rsidRPr="00000000" w14:paraId="00000058">
      <w:pPr>
        <w:ind w:left="0" w:hanging="2"/>
        <w:rPr/>
      </w:pPr>
      <w:r w:rsidDel="00000000" w:rsidR="00000000" w:rsidRPr="00000000">
        <w:rPr>
          <w:rtl w:val="0"/>
        </w:rPr>
      </w:r>
    </w:p>
    <w:p w:rsidR="00000000" w:rsidDel="00000000" w:rsidP="00000000" w:rsidRDefault="00000000" w:rsidRPr="00000000" w14:paraId="00000059">
      <w:pPr>
        <w:ind w:left="0" w:hanging="2"/>
        <w:rPr>
          <w:color w:val="0070c0"/>
        </w:rPr>
      </w:pPr>
      <w:r w:rsidDel="00000000" w:rsidR="00000000" w:rsidRPr="00000000">
        <w:rPr>
          <w:color w:val="0070c0"/>
          <w:rtl w:val="0"/>
        </w:rPr>
        <w:t xml:space="preserve">Below, provide justification for the use of each item and relate them to specific program objectives. </w:t>
      </w:r>
    </w:p>
    <w:p w:rsidR="00000000" w:rsidDel="00000000" w:rsidP="00000000" w:rsidRDefault="00000000" w:rsidRPr="00000000" w14:paraId="0000005A">
      <w:pPr>
        <w:ind w:left="0" w:hanging="2"/>
        <w:rPr>
          <w:color w:val="0070c0"/>
        </w:rPr>
      </w:pPr>
      <w:r w:rsidDel="00000000" w:rsidR="00000000" w:rsidRPr="00000000">
        <w:rPr>
          <w:rtl w:val="0"/>
        </w:rPr>
      </w:r>
    </w:p>
    <w:p w:rsidR="00000000" w:rsidDel="00000000" w:rsidP="00000000" w:rsidRDefault="00000000" w:rsidRPr="00000000" w14:paraId="0000005B">
      <w:pPr>
        <w:ind w:left="0" w:hanging="2"/>
        <w:rPr>
          <w:u w:val="single"/>
        </w:rPr>
      </w:pPr>
      <w:r w:rsidDel="00000000" w:rsidR="00000000" w:rsidRPr="00000000">
        <w:rPr>
          <w:rtl w:val="0"/>
        </w:rPr>
      </w:r>
    </w:p>
    <w:p w:rsidR="00000000" w:rsidDel="00000000" w:rsidP="00000000" w:rsidRDefault="00000000" w:rsidRPr="00000000" w14:paraId="0000005C">
      <w:pPr>
        <w:ind w:left="0" w:hanging="2"/>
        <w:rPr>
          <w:u w:val="single"/>
        </w:rPr>
      </w:pPr>
      <w:r w:rsidDel="00000000" w:rsidR="00000000" w:rsidRPr="00000000">
        <w:rPr>
          <w:rtl w:val="0"/>
        </w:rPr>
      </w:r>
    </w:p>
    <w:p w:rsidR="00000000" w:rsidDel="00000000" w:rsidP="00000000" w:rsidRDefault="00000000" w:rsidRPr="00000000" w14:paraId="0000005D">
      <w:pPr>
        <w:ind w:left="0" w:hanging="2"/>
        <w:rPr>
          <w:u w:val="single"/>
        </w:rPr>
      </w:pPr>
      <w:r w:rsidDel="00000000" w:rsidR="00000000" w:rsidRPr="00000000">
        <w:rPr>
          <w:rtl w:val="0"/>
        </w:rPr>
      </w:r>
    </w:p>
    <w:p w:rsidR="00000000" w:rsidDel="00000000" w:rsidP="00000000" w:rsidRDefault="00000000" w:rsidRPr="00000000" w14:paraId="0000005E">
      <w:pPr>
        <w:ind w:left="0" w:hanging="2"/>
        <w:rPr>
          <w:u w:val="single"/>
        </w:rPr>
      </w:pPr>
      <w:r w:rsidDel="00000000" w:rsidR="00000000" w:rsidRPr="00000000">
        <w:rPr>
          <w:rtl w:val="0"/>
        </w:rPr>
      </w:r>
    </w:p>
    <w:p w:rsidR="00000000" w:rsidDel="00000000" w:rsidP="00000000" w:rsidRDefault="00000000" w:rsidRPr="00000000" w14:paraId="0000005F">
      <w:pPr>
        <w:ind w:left="0" w:hanging="2"/>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60">
      <w:pPr>
        <w:ind w:left="0" w:hanging="2"/>
        <w:rPr>
          <w:u w:val="single"/>
        </w:rPr>
      </w:pPr>
      <w:r w:rsidDel="00000000" w:rsidR="00000000" w:rsidRPr="00000000">
        <w:rPr>
          <w:u w:val="single"/>
          <w:rtl w:val="0"/>
        </w:rPr>
        <w:t xml:space="preserve">Supplies</w:t>
      </w:r>
    </w:p>
    <w:p w:rsidR="00000000" w:rsidDel="00000000" w:rsidP="00000000" w:rsidRDefault="00000000" w:rsidRPr="00000000" w14:paraId="00000061">
      <w:pPr>
        <w:ind w:left="0" w:hanging="2"/>
        <w:rPr>
          <w:u w:val="single"/>
        </w:rPr>
      </w:pPr>
      <w:r w:rsidDel="00000000" w:rsidR="00000000" w:rsidRPr="00000000">
        <w:rPr>
          <w:rtl w:val="0"/>
        </w:rPr>
      </w:r>
    </w:p>
    <w:p w:rsidR="00000000" w:rsidDel="00000000" w:rsidP="00000000" w:rsidRDefault="00000000" w:rsidRPr="00000000" w14:paraId="00000062">
      <w:pPr>
        <w:ind w:left="0" w:hanging="2"/>
        <w:rPr>
          <w:color w:val="0070c0"/>
        </w:rPr>
      </w:pPr>
      <w:r w:rsidDel="00000000" w:rsidR="00000000" w:rsidRPr="00000000">
        <w:rPr>
          <w:color w:val="0070c0"/>
          <w:rtl w:val="0"/>
        </w:rPr>
        <w:t xml:space="preserve">Provide justification of the supply items and relate them to specific program objectives. It is recommended that when training materials are kept on hand as a supply item, that it be included in the “supplies” category. </w:t>
      </w:r>
    </w:p>
    <w:p w:rsidR="00000000" w:rsidDel="00000000" w:rsidP="00000000" w:rsidRDefault="00000000" w:rsidRPr="00000000" w14:paraId="00000063">
      <w:pPr>
        <w:ind w:left="0" w:hanging="2"/>
        <w:rPr>
          <w:color w:val="0070c0"/>
        </w:rPr>
      </w:pPr>
      <w:r w:rsidDel="00000000" w:rsidR="00000000" w:rsidRPr="00000000">
        <w:rPr>
          <w:rtl w:val="0"/>
        </w:rPr>
      </w:r>
    </w:p>
    <w:p w:rsidR="00000000" w:rsidDel="00000000" w:rsidP="00000000" w:rsidRDefault="00000000" w:rsidRPr="00000000" w14:paraId="00000064">
      <w:pPr>
        <w:ind w:left="0" w:hanging="2"/>
        <w:rPr>
          <w:color w:val="0070c0"/>
        </w:rPr>
      </w:pPr>
      <w:r w:rsidDel="00000000" w:rsidR="00000000" w:rsidRPr="00000000">
        <w:rPr>
          <w:color w:val="0070c0"/>
          <w:rtl w:val="0"/>
        </w:rPr>
        <w:t xml:space="preserve">An explanation is necessary for supplies costing more than $5,000, or five percent of the award, whichever is greater. </w:t>
      </w:r>
    </w:p>
    <w:p w:rsidR="00000000" w:rsidDel="00000000" w:rsidP="00000000" w:rsidRDefault="00000000" w:rsidRPr="00000000" w14:paraId="00000065">
      <w:pPr>
        <w:ind w:left="0" w:hanging="2"/>
        <w:rPr>
          <w:color w:val="0070c0"/>
        </w:rPr>
      </w:pPr>
      <w:r w:rsidDel="00000000" w:rsidR="00000000" w:rsidRPr="00000000">
        <w:rPr>
          <w:rtl w:val="0"/>
        </w:rPr>
      </w:r>
    </w:p>
    <w:p w:rsidR="00000000" w:rsidDel="00000000" w:rsidP="00000000" w:rsidRDefault="00000000" w:rsidRPr="00000000" w14:paraId="00000066">
      <w:pPr>
        <w:ind w:left="0" w:hanging="2"/>
        <w:rPr>
          <w:color w:val="0070c0"/>
          <w:u w:val="single"/>
        </w:rPr>
      </w:pPr>
      <w:r w:rsidDel="00000000" w:rsidR="00000000" w:rsidRPr="00000000">
        <w:rPr>
          <w:color w:val="0070c0"/>
          <w:rtl w:val="0"/>
        </w:rPr>
        <w:t xml:space="preserve">Below, explain the type of supplies to be purchased or nature of the expense. Indicate the basis for estimate of supplies, i.e., historical use on similar projects.</w:t>
      </w:r>
      <w:r w:rsidDel="00000000" w:rsidR="00000000" w:rsidRPr="00000000">
        <w:rPr>
          <w:rtl w:val="0"/>
        </w:rPr>
      </w:r>
    </w:p>
    <w:p w:rsidR="00000000" w:rsidDel="00000000" w:rsidP="00000000" w:rsidRDefault="00000000" w:rsidRPr="00000000" w14:paraId="00000067">
      <w:pPr>
        <w:ind w:left="0" w:hanging="2"/>
        <w:rPr>
          <w:color w:val="0070c0"/>
          <w:u w:val="single"/>
        </w:rPr>
      </w:pPr>
      <w:r w:rsidDel="00000000" w:rsidR="00000000" w:rsidRPr="00000000">
        <w:rPr>
          <w:rtl w:val="0"/>
        </w:rPr>
      </w:r>
    </w:p>
    <w:p w:rsidR="00000000" w:rsidDel="00000000" w:rsidP="00000000" w:rsidRDefault="00000000" w:rsidRPr="00000000" w14:paraId="00000068">
      <w:pPr>
        <w:ind w:left="0" w:hanging="2"/>
        <w:rPr>
          <w:u w:val="single"/>
        </w:rPr>
      </w:pPr>
      <w:r w:rsidDel="00000000" w:rsidR="00000000" w:rsidRPr="00000000">
        <w:rPr>
          <w:rtl w:val="0"/>
        </w:rPr>
      </w:r>
    </w:p>
    <w:p w:rsidR="00000000" w:rsidDel="00000000" w:rsidP="00000000" w:rsidRDefault="00000000" w:rsidRPr="00000000" w14:paraId="00000069">
      <w:pPr>
        <w:ind w:left="0" w:hanging="2"/>
        <w:rPr>
          <w:u w:val="single"/>
        </w:rPr>
      </w:pPr>
      <w:r w:rsidDel="00000000" w:rsidR="00000000" w:rsidRPr="00000000">
        <w:rPr>
          <w:rtl w:val="0"/>
        </w:rPr>
      </w:r>
    </w:p>
    <w:p w:rsidR="00000000" w:rsidDel="00000000" w:rsidP="00000000" w:rsidRDefault="00000000" w:rsidRPr="00000000" w14:paraId="0000006A">
      <w:pPr>
        <w:ind w:left="0" w:hanging="2"/>
        <w:rPr>
          <w:u w:val="single"/>
        </w:rPr>
      </w:pPr>
      <w:r w:rsidDel="00000000" w:rsidR="00000000" w:rsidRPr="00000000">
        <w:rPr>
          <w:rtl w:val="0"/>
        </w:rPr>
      </w:r>
    </w:p>
    <w:p w:rsidR="00000000" w:rsidDel="00000000" w:rsidP="00000000" w:rsidRDefault="00000000" w:rsidRPr="00000000" w14:paraId="0000006B">
      <w:pPr>
        <w:ind w:left="0" w:hanging="2"/>
        <w:rPr>
          <w:u w:val="single"/>
        </w:rPr>
      </w:pPr>
      <w:r w:rsidDel="00000000" w:rsidR="00000000" w:rsidRPr="00000000">
        <w:rPr>
          <w:rtl w:val="0"/>
        </w:rPr>
      </w:r>
    </w:p>
    <w:p w:rsidR="00000000" w:rsidDel="00000000" w:rsidP="00000000" w:rsidRDefault="00000000" w:rsidRPr="00000000" w14:paraId="0000006C">
      <w:pPr>
        <w:ind w:left="0" w:hanging="2"/>
        <w:rPr>
          <w:u w:val="single"/>
        </w:rPr>
      </w:pPr>
      <w:r w:rsidDel="00000000" w:rsidR="00000000" w:rsidRPr="00000000">
        <w:rPr>
          <w:rtl w:val="0"/>
        </w:rPr>
      </w:r>
    </w:p>
    <w:p w:rsidR="00000000" w:rsidDel="00000000" w:rsidP="00000000" w:rsidRDefault="00000000" w:rsidRPr="00000000" w14:paraId="0000006D">
      <w:pPr>
        <w:ind w:left="0" w:hanging="2"/>
        <w:rPr>
          <w:u w:val="single"/>
        </w:rPr>
      </w:pPr>
      <w:r w:rsidDel="00000000" w:rsidR="00000000" w:rsidRPr="00000000">
        <w:rPr>
          <w:rtl w:val="0"/>
        </w:rPr>
      </w:r>
    </w:p>
    <w:p w:rsidR="00000000" w:rsidDel="00000000" w:rsidP="00000000" w:rsidRDefault="00000000" w:rsidRPr="00000000" w14:paraId="0000006E">
      <w:pPr>
        <w:ind w:left="0" w:hanging="2"/>
        <w:rPr>
          <w:u w:val="single"/>
        </w:rPr>
      </w:pPr>
      <w:r w:rsidDel="00000000" w:rsidR="00000000" w:rsidRPr="00000000">
        <w:rPr>
          <w:rtl w:val="0"/>
        </w:rPr>
      </w:r>
    </w:p>
    <w:p w:rsidR="00000000" w:rsidDel="00000000" w:rsidP="00000000" w:rsidRDefault="00000000" w:rsidRPr="00000000" w14:paraId="0000006F">
      <w:pPr>
        <w:ind w:left="0" w:hanging="2"/>
        <w:rPr>
          <w:u w:val="single"/>
        </w:rPr>
      </w:pPr>
      <w:r w:rsidDel="00000000" w:rsidR="00000000" w:rsidRPr="00000000">
        <w:rPr>
          <w:rtl w:val="0"/>
        </w:rPr>
      </w:r>
    </w:p>
    <w:p w:rsidR="00000000" w:rsidDel="00000000" w:rsidP="00000000" w:rsidRDefault="00000000" w:rsidRPr="00000000" w14:paraId="00000070">
      <w:pPr>
        <w:ind w:left="0" w:hanging="2"/>
        <w:rPr>
          <w:u w:val="single"/>
        </w:rPr>
      </w:pPr>
      <w:r w:rsidDel="00000000" w:rsidR="00000000" w:rsidRPr="00000000">
        <w:rPr>
          <w:rtl w:val="0"/>
        </w:rPr>
      </w:r>
    </w:p>
    <w:p w:rsidR="00000000" w:rsidDel="00000000" w:rsidP="00000000" w:rsidRDefault="00000000" w:rsidRPr="00000000" w14:paraId="00000071">
      <w:pPr>
        <w:ind w:left="0" w:hanging="2"/>
        <w:rPr>
          <w:u w:val="single"/>
        </w:rPr>
      </w:pPr>
      <w:r w:rsidDel="00000000" w:rsidR="00000000" w:rsidRPr="00000000">
        <w:rPr>
          <w:rtl w:val="0"/>
        </w:rPr>
      </w:r>
    </w:p>
    <w:p w:rsidR="00000000" w:rsidDel="00000000" w:rsidP="00000000" w:rsidRDefault="00000000" w:rsidRPr="00000000" w14:paraId="00000072">
      <w:pPr>
        <w:ind w:left="0" w:hanging="2"/>
        <w:rPr>
          <w:u w:val="single"/>
        </w:rPr>
      </w:pPr>
      <w:r w:rsidDel="00000000" w:rsidR="00000000" w:rsidRPr="00000000">
        <w:rPr>
          <w:rtl w:val="0"/>
        </w:rPr>
      </w:r>
    </w:p>
    <w:p w:rsidR="00000000" w:rsidDel="00000000" w:rsidP="00000000" w:rsidRDefault="00000000" w:rsidRPr="00000000" w14:paraId="00000073">
      <w:pPr>
        <w:ind w:left="0" w:hanging="2"/>
        <w:rPr>
          <w:u w:val="single"/>
        </w:rPr>
      </w:pPr>
      <w:r w:rsidDel="00000000" w:rsidR="00000000" w:rsidRPr="00000000">
        <w:rPr>
          <w:rtl w:val="0"/>
        </w:rPr>
      </w:r>
    </w:p>
    <w:p w:rsidR="00000000" w:rsidDel="00000000" w:rsidP="00000000" w:rsidRDefault="00000000" w:rsidRPr="00000000" w14:paraId="00000074">
      <w:pPr>
        <w:ind w:left="0" w:hanging="2"/>
        <w:rPr>
          <w:u w:val="single"/>
        </w:rPr>
      </w:pPr>
      <w:r w:rsidDel="00000000" w:rsidR="00000000" w:rsidRPr="00000000">
        <w:rPr>
          <w:rtl w:val="0"/>
        </w:rPr>
      </w:r>
    </w:p>
    <w:p w:rsidR="00000000" w:rsidDel="00000000" w:rsidP="00000000" w:rsidRDefault="00000000" w:rsidRPr="00000000" w14:paraId="00000075">
      <w:pPr>
        <w:ind w:left="0" w:hanging="2"/>
        <w:rPr>
          <w:u w:val="single"/>
        </w:rPr>
      </w:pPr>
      <w:r w:rsidDel="00000000" w:rsidR="00000000" w:rsidRPr="00000000">
        <w:rPr>
          <w:rtl w:val="0"/>
        </w:rPr>
      </w:r>
    </w:p>
    <w:p w:rsidR="00000000" w:rsidDel="00000000" w:rsidP="00000000" w:rsidRDefault="00000000" w:rsidRPr="00000000" w14:paraId="00000076">
      <w:pPr>
        <w:ind w:left="0" w:hanging="2"/>
        <w:rPr>
          <w:u w:val="single"/>
        </w:rPr>
      </w:pPr>
      <w:r w:rsidDel="00000000" w:rsidR="00000000" w:rsidRPr="00000000">
        <w:rPr>
          <w:rtl w:val="0"/>
        </w:rPr>
      </w:r>
    </w:p>
    <w:p w:rsidR="00000000" w:rsidDel="00000000" w:rsidP="00000000" w:rsidRDefault="00000000" w:rsidRPr="00000000" w14:paraId="00000077">
      <w:pPr>
        <w:ind w:left="0" w:hanging="2"/>
        <w:rPr>
          <w:u w:val="single"/>
        </w:rPr>
      </w:pPr>
      <w:r w:rsidDel="00000000" w:rsidR="00000000" w:rsidRPr="00000000">
        <w:rPr>
          <w:rtl w:val="0"/>
        </w:rPr>
      </w:r>
    </w:p>
    <w:p w:rsidR="00000000" w:rsidDel="00000000" w:rsidP="00000000" w:rsidRDefault="00000000" w:rsidRPr="00000000" w14:paraId="00000078">
      <w:pPr>
        <w:ind w:left="0" w:hanging="2"/>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79">
      <w:pPr>
        <w:ind w:left="0" w:hanging="2"/>
        <w:rPr>
          <w:u w:val="single"/>
        </w:rPr>
      </w:pPr>
      <w:r w:rsidDel="00000000" w:rsidR="00000000" w:rsidRPr="00000000">
        <w:rPr>
          <w:u w:val="single"/>
          <w:rtl w:val="0"/>
        </w:rPr>
        <w:t xml:space="preserve">Contractual</w:t>
      </w:r>
    </w:p>
    <w:p w:rsidR="00000000" w:rsidDel="00000000" w:rsidP="00000000" w:rsidRDefault="00000000" w:rsidRPr="00000000" w14:paraId="0000007A">
      <w:pPr>
        <w:ind w:left="0" w:hanging="2"/>
        <w:rPr>
          <w:u w:val="single"/>
        </w:rPr>
      </w:pPr>
      <w:r w:rsidDel="00000000" w:rsidR="00000000" w:rsidRPr="00000000">
        <w:rPr>
          <w:rtl w:val="0"/>
        </w:rPr>
      </w:r>
    </w:p>
    <w:p w:rsidR="00000000" w:rsidDel="00000000" w:rsidP="00000000" w:rsidRDefault="00000000" w:rsidRPr="00000000" w14:paraId="0000007B">
      <w:pPr>
        <w:ind w:left="0" w:hanging="2"/>
        <w:rPr>
          <w:color w:val="0070c0"/>
        </w:rPr>
      </w:pPr>
      <w:r w:rsidDel="00000000" w:rsidR="00000000" w:rsidRPr="00000000">
        <w:rPr>
          <w:b w:val="1"/>
          <w:color w:val="0070c0"/>
          <w:u w:val="single"/>
          <w:rtl w:val="0"/>
        </w:rPr>
        <w:t xml:space="preserve">Important</w:t>
      </w:r>
      <w:r w:rsidDel="00000000" w:rsidR="00000000" w:rsidRPr="00000000">
        <w:rPr>
          <w:b w:val="1"/>
          <w:color w:val="0070c0"/>
          <w:rtl w:val="0"/>
        </w:rPr>
        <w:t xml:space="preserve">:  </w:t>
      </w:r>
      <w:r w:rsidDel="00000000" w:rsidR="00000000" w:rsidRPr="00000000">
        <w:rPr>
          <w:color w:val="0070c0"/>
          <w:rtl w:val="0"/>
        </w:rPr>
        <w:t xml:space="preserve">a contract is usually with a vendor that provides products or services.  A subaward is with a partner that helps you complete tsunami-related tasks and works in a cooperative nature as a partner.  See this document for more information:  </w:t>
      </w:r>
      <w:hyperlink r:id="rId8">
        <w:r w:rsidDel="00000000" w:rsidR="00000000" w:rsidRPr="00000000">
          <w:rPr>
            <w:color w:val="1155cc"/>
            <w:u w:val="single"/>
            <w:rtl w:val="0"/>
          </w:rPr>
          <w:t xml:space="preserve">https://www.weather.gov/media/nthmp/Grants/SubrecipientContractorDeterminations.pdf</w:t>
        </w:r>
      </w:hyperlink>
      <w:r w:rsidDel="00000000" w:rsidR="00000000" w:rsidRPr="00000000">
        <w:rPr>
          <w:rtl w:val="0"/>
        </w:rPr>
      </w:r>
    </w:p>
    <w:p w:rsidR="00000000" w:rsidDel="00000000" w:rsidP="00000000" w:rsidRDefault="00000000" w:rsidRPr="00000000" w14:paraId="0000007C">
      <w:pPr>
        <w:ind w:left="0" w:hanging="2"/>
        <w:rPr/>
      </w:pPr>
      <w:r w:rsidDel="00000000" w:rsidR="00000000" w:rsidRPr="00000000">
        <w:rPr>
          <w:rtl w:val="0"/>
        </w:rPr>
      </w:r>
    </w:p>
    <w:p w:rsidR="00000000" w:rsidDel="00000000" w:rsidP="00000000" w:rsidRDefault="00000000" w:rsidRPr="00000000" w14:paraId="0000007D">
      <w:pPr>
        <w:ind w:left="0" w:hanging="2"/>
        <w:rPr>
          <w:u w:val="single"/>
        </w:rPr>
      </w:pPr>
      <w:r w:rsidDel="00000000" w:rsidR="00000000" w:rsidRPr="00000000">
        <w:rPr>
          <w:u w:val="single"/>
          <w:rtl w:val="0"/>
        </w:rPr>
        <w:t xml:space="preserve">For Contracts</w:t>
      </w:r>
    </w:p>
    <w:p w:rsidR="00000000" w:rsidDel="00000000" w:rsidP="00000000" w:rsidRDefault="00000000" w:rsidRPr="00000000" w14:paraId="0000007E">
      <w:pPr>
        <w:ind w:left="0" w:hanging="2"/>
        <w:rPr/>
      </w:pPr>
      <w:r w:rsidDel="00000000" w:rsidR="00000000" w:rsidRPr="00000000">
        <w:rPr>
          <w:rtl w:val="0"/>
        </w:rPr>
      </w:r>
    </w:p>
    <w:p w:rsidR="00000000" w:rsidDel="00000000" w:rsidP="00000000" w:rsidRDefault="00000000" w:rsidRPr="00000000" w14:paraId="0000007F">
      <w:pPr>
        <w:ind w:left="0" w:hanging="2"/>
        <w:rPr>
          <w:color w:val="0070c0"/>
        </w:rPr>
      </w:pPr>
      <w:r w:rsidDel="00000000" w:rsidR="00000000" w:rsidRPr="00000000">
        <w:rPr>
          <w:color w:val="0070c0"/>
          <w:rtl w:val="0"/>
        </w:rPr>
        <w:t xml:space="preserve">Provide separate budgets for each contract, regardless of the dollar value and indicate the basis for the cost estimates in the narrative. Describe products or services to be obtained and indicate the applicability or necessity of each to the project. </w:t>
      </w:r>
    </w:p>
    <w:p w:rsidR="00000000" w:rsidDel="00000000" w:rsidP="00000000" w:rsidRDefault="00000000" w:rsidRPr="00000000" w14:paraId="00000080">
      <w:pPr>
        <w:ind w:left="0" w:hanging="2"/>
        <w:rPr/>
      </w:pPr>
      <w:r w:rsidDel="00000000" w:rsidR="00000000" w:rsidRPr="00000000">
        <w:rPr>
          <w:rtl w:val="0"/>
        </w:rPr>
      </w:r>
    </w:p>
    <w:p w:rsidR="00000000" w:rsidDel="00000000" w:rsidP="00000000" w:rsidRDefault="00000000" w:rsidRPr="00000000" w14:paraId="00000081">
      <w:pPr>
        <w:ind w:left="0" w:hanging="2"/>
        <w:rPr/>
      </w:pPr>
      <w:r w:rsidDel="00000000" w:rsidR="00000000" w:rsidRPr="00000000">
        <w:rPr>
          <w:rtl w:val="0"/>
        </w:rPr>
        <w:t xml:space="preserve">Provide additional explanation for each contract below:</w:t>
      </w:r>
    </w:p>
    <w:p w:rsidR="00000000" w:rsidDel="00000000" w:rsidP="00000000" w:rsidRDefault="00000000" w:rsidRPr="00000000" w14:paraId="00000082">
      <w:pPr>
        <w:ind w:left="0" w:hanging="2"/>
        <w:rPr>
          <w:u w:val="single"/>
        </w:rPr>
      </w:pPr>
      <w:r w:rsidDel="00000000" w:rsidR="00000000" w:rsidRPr="00000000">
        <w:rPr>
          <w:rtl w:val="0"/>
        </w:rPr>
      </w:r>
    </w:p>
    <w:p w:rsidR="00000000" w:rsidDel="00000000" w:rsidP="00000000" w:rsidRDefault="00000000" w:rsidRPr="00000000" w14:paraId="00000083">
      <w:pPr>
        <w:ind w:left="0" w:hanging="2"/>
        <w:rPr>
          <w:u w:val="single"/>
        </w:rPr>
      </w:pPr>
      <w:r w:rsidDel="00000000" w:rsidR="00000000" w:rsidRPr="00000000">
        <w:rPr>
          <w:rtl w:val="0"/>
        </w:rPr>
      </w:r>
    </w:p>
    <w:p w:rsidR="00000000" w:rsidDel="00000000" w:rsidP="00000000" w:rsidRDefault="00000000" w:rsidRPr="00000000" w14:paraId="00000084">
      <w:pPr>
        <w:ind w:left="0" w:hanging="2"/>
        <w:rPr>
          <w:u w:val="single"/>
        </w:rPr>
      </w:pPr>
      <w:r w:rsidDel="00000000" w:rsidR="00000000" w:rsidRPr="00000000">
        <w:rPr>
          <w:rtl w:val="0"/>
        </w:rPr>
      </w:r>
    </w:p>
    <w:p w:rsidR="00000000" w:rsidDel="00000000" w:rsidP="00000000" w:rsidRDefault="00000000" w:rsidRPr="00000000" w14:paraId="00000085">
      <w:pPr>
        <w:ind w:left="0" w:hanging="2"/>
        <w:rPr>
          <w:u w:val="single"/>
        </w:rPr>
      </w:pPr>
      <w:r w:rsidDel="00000000" w:rsidR="00000000" w:rsidRPr="00000000">
        <w:rPr>
          <w:rtl w:val="0"/>
        </w:rPr>
      </w:r>
    </w:p>
    <w:p w:rsidR="00000000" w:rsidDel="00000000" w:rsidP="00000000" w:rsidRDefault="00000000" w:rsidRPr="00000000" w14:paraId="00000086">
      <w:pPr>
        <w:ind w:left="0" w:hanging="2"/>
        <w:rPr>
          <w:u w:val="single"/>
        </w:rPr>
      </w:pPr>
      <w:r w:rsidDel="00000000" w:rsidR="00000000" w:rsidRPr="00000000">
        <w:rPr>
          <w:rtl w:val="0"/>
        </w:rPr>
      </w:r>
    </w:p>
    <w:p w:rsidR="00000000" w:rsidDel="00000000" w:rsidP="00000000" w:rsidRDefault="00000000" w:rsidRPr="00000000" w14:paraId="00000087">
      <w:pPr>
        <w:ind w:left="0" w:hanging="2"/>
        <w:rPr>
          <w:u w:val="single"/>
        </w:rPr>
      </w:pPr>
      <w:r w:rsidDel="00000000" w:rsidR="00000000" w:rsidRPr="00000000">
        <w:rPr>
          <w:rtl w:val="0"/>
        </w:rPr>
      </w:r>
    </w:p>
    <w:p w:rsidR="00000000" w:rsidDel="00000000" w:rsidP="00000000" w:rsidRDefault="00000000" w:rsidRPr="00000000" w14:paraId="00000088">
      <w:pPr>
        <w:ind w:left="0" w:hanging="2"/>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89">
      <w:pPr>
        <w:ind w:left="0" w:hanging="2"/>
        <w:rPr>
          <w:u w:val="single"/>
        </w:rPr>
      </w:pPr>
      <w:r w:rsidDel="00000000" w:rsidR="00000000" w:rsidRPr="00000000">
        <w:rPr>
          <w:u w:val="single"/>
          <w:rtl w:val="0"/>
        </w:rPr>
        <w:t xml:space="preserve">Other Direct Costs</w:t>
      </w:r>
    </w:p>
    <w:p w:rsidR="00000000" w:rsidDel="00000000" w:rsidP="00000000" w:rsidRDefault="00000000" w:rsidRPr="00000000" w14:paraId="0000008A">
      <w:pPr>
        <w:ind w:left="0" w:hanging="2"/>
        <w:rPr>
          <w:u w:val="single"/>
        </w:rPr>
      </w:pPr>
      <w:r w:rsidDel="00000000" w:rsidR="00000000" w:rsidRPr="00000000">
        <w:rPr>
          <w:rtl w:val="0"/>
        </w:rPr>
      </w:r>
    </w:p>
    <w:p w:rsidR="00000000" w:rsidDel="00000000" w:rsidP="00000000" w:rsidRDefault="00000000" w:rsidRPr="00000000" w14:paraId="0000008B">
      <w:pPr>
        <w:ind w:left="0" w:hanging="2"/>
        <w:rPr>
          <w:color w:val="0070c0"/>
        </w:rPr>
      </w:pPr>
      <w:r w:rsidDel="00000000" w:rsidR="00000000" w:rsidRPr="00000000">
        <w:rPr>
          <w:color w:val="0070c0"/>
          <w:rtl w:val="0"/>
        </w:rPr>
        <w:t xml:space="preserve">This category contains items not included in the previous categories. While subawards are also “other direct costs,” please detail subawards in the next section.</w:t>
      </w:r>
    </w:p>
    <w:p w:rsidR="00000000" w:rsidDel="00000000" w:rsidP="00000000" w:rsidRDefault="00000000" w:rsidRPr="00000000" w14:paraId="0000008C">
      <w:pPr>
        <w:ind w:left="0" w:hanging="2"/>
        <w:rPr>
          <w:color w:val="0070c0"/>
        </w:rPr>
      </w:pPr>
      <w:r w:rsidDel="00000000" w:rsidR="00000000" w:rsidRPr="00000000">
        <w:rPr>
          <w:rtl w:val="0"/>
        </w:rPr>
      </w:r>
    </w:p>
    <w:p w:rsidR="00000000" w:rsidDel="00000000" w:rsidP="00000000" w:rsidRDefault="00000000" w:rsidRPr="00000000" w14:paraId="0000008D">
      <w:pPr>
        <w:ind w:left="0" w:hanging="2"/>
        <w:rPr>
          <w:color w:val="0070c0"/>
        </w:rPr>
      </w:pPr>
      <w:r w:rsidDel="00000000" w:rsidR="00000000" w:rsidRPr="00000000">
        <w:rPr>
          <w:color w:val="0070c0"/>
          <w:rtl w:val="0"/>
        </w:rPr>
        <w:t xml:space="preserve">State the necessity of other costs for successful completion of the project and exclude unallowable costs (i.e., alcohol, fundraising, and meals). </w:t>
      </w:r>
    </w:p>
    <w:p w:rsidR="00000000" w:rsidDel="00000000" w:rsidP="00000000" w:rsidRDefault="00000000" w:rsidRPr="00000000" w14:paraId="0000008E">
      <w:pPr>
        <w:ind w:left="0" w:hanging="2"/>
        <w:rPr>
          <w:color w:val="0070c0"/>
        </w:rPr>
      </w:pPr>
      <w:r w:rsidDel="00000000" w:rsidR="00000000" w:rsidRPr="00000000">
        <w:rPr>
          <w:rtl w:val="0"/>
        </w:rPr>
      </w:r>
    </w:p>
    <w:p w:rsidR="00000000" w:rsidDel="00000000" w:rsidP="00000000" w:rsidRDefault="00000000" w:rsidRPr="00000000" w14:paraId="0000008F">
      <w:pPr>
        <w:ind w:left="0" w:hanging="2"/>
        <w:rPr>
          <w:color w:val="0070c0"/>
        </w:rPr>
      </w:pPr>
      <w:r w:rsidDel="00000000" w:rsidR="00000000" w:rsidRPr="00000000">
        <w:rPr>
          <w:color w:val="0070c0"/>
          <w:rtl w:val="0"/>
        </w:rPr>
        <w:t xml:space="preserve">Give justification for all the items in the “other” category (e.g., separate justification for printing, telephone, postage, rent, etc.). </w:t>
      </w:r>
    </w:p>
    <w:p w:rsidR="00000000" w:rsidDel="00000000" w:rsidP="00000000" w:rsidRDefault="00000000" w:rsidRPr="00000000" w14:paraId="00000090">
      <w:pPr>
        <w:ind w:left="0" w:hanging="2"/>
        <w:rPr>
          <w:color w:val="0070c0"/>
        </w:rPr>
      </w:pPr>
      <w:r w:rsidDel="00000000" w:rsidR="00000000" w:rsidRPr="00000000">
        <w:rPr>
          <w:rtl w:val="0"/>
        </w:rPr>
      </w:r>
    </w:p>
    <w:p w:rsidR="00000000" w:rsidDel="00000000" w:rsidP="00000000" w:rsidRDefault="00000000" w:rsidRPr="00000000" w14:paraId="00000091">
      <w:pPr>
        <w:ind w:left="0" w:hanging="2"/>
        <w:rPr>
          <w:color w:val="0070c0"/>
        </w:rPr>
      </w:pPr>
      <w:r w:rsidDel="00000000" w:rsidR="00000000" w:rsidRPr="00000000">
        <w:rPr>
          <w:color w:val="0070c0"/>
          <w:rtl w:val="0"/>
        </w:rPr>
        <w:t xml:space="preserve">All costs associated with training activities should be placed in the “other” category except costs for consultant and/or contractual. List all expenses anticipated for the training activity in the format above. Include rental space for training (if required), training materials, speaker fees, substitute teacher fees, and any other applicable expenses related to the training.</w:t>
      </w:r>
    </w:p>
    <w:p w:rsidR="00000000" w:rsidDel="00000000" w:rsidP="00000000" w:rsidRDefault="00000000" w:rsidRPr="00000000" w14:paraId="00000092">
      <w:pPr>
        <w:ind w:left="0" w:hanging="2"/>
        <w:rPr>
          <w:color w:val="0070c0"/>
        </w:rPr>
      </w:pPr>
      <w:r w:rsidDel="00000000" w:rsidR="00000000" w:rsidRPr="00000000">
        <w:rPr>
          <w:rtl w:val="0"/>
        </w:rPr>
      </w:r>
    </w:p>
    <w:p w:rsidR="00000000" w:rsidDel="00000000" w:rsidP="00000000" w:rsidRDefault="00000000" w:rsidRPr="00000000" w14:paraId="00000093">
      <w:pPr>
        <w:ind w:left="0" w:hanging="2"/>
        <w:rPr>
          <w:color w:val="0070c0"/>
        </w:rPr>
      </w:pPr>
      <w:r w:rsidDel="00000000" w:rsidR="00000000" w:rsidRPr="00000000">
        <w:rPr>
          <w:color w:val="0070c0"/>
          <w:rtl w:val="0"/>
        </w:rPr>
        <w:t xml:space="preserve">Provide additional explanation for other direct costs below:</w:t>
      </w:r>
    </w:p>
    <w:p w:rsidR="00000000" w:rsidDel="00000000" w:rsidP="00000000" w:rsidRDefault="00000000" w:rsidRPr="00000000" w14:paraId="00000094">
      <w:pPr>
        <w:ind w:left="0" w:hanging="2"/>
        <w:rPr>
          <w:u w:val="single"/>
        </w:rPr>
      </w:pPr>
      <w:r w:rsidDel="00000000" w:rsidR="00000000" w:rsidRPr="00000000">
        <w:br w:type="page"/>
      </w:r>
      <w:r w:rsidDel="00000000" w:rsidR="00000000" w:rsidRPr="00000000">
        <w:rPr>
          <w:u w:val="single"/>
          <w:rtl w:val="0"/>
        </w:rPr>
        <w:t xml:space="preserve">Indirect Costs</w:t>
      </w:r>
    </w:p>
    <w:p w:rsidR="00000000" w:rsidDel="00000000" w:rsidP="00000000" w:rsidRDefault="00000000" w:rsidRPr="00000000" w14:paraId="00000095">
      <w:pPr>
        <w:ind w:left="0" w:hanging="2"/>
        <w:rPr>
          <w:u w:val="single"/>
        </w:rPr>
      </w:pPr>
      <w:r w:rsidDel="00000000" w:rsidR="00000000" w:rsidRPr="00000000">
        <w:rPr>
          <w:rtl w:val="0"/>
        </w:rPr>
      </w:r>
    </w:p>
    <w:p w:rsidR="00000000" w:rsidDel="00000000" w:rsidP="00000000" w:rsidRDefault="00000000" w:rsidRPr="00000000" w14:paraId="00000096">
      <w:pPr>
        <w:ind w:left="0" w:hanging="2"/>
        <w:rPr>
          <w:color w:val="0070c0"/>
        </w:rPr>
      </w:pPr>
      <w:r w:rsidDel="00000000" w:rsidR="00000000" w:rsidRPr="00000000">
        <w:rPr>
          <w:color w:val="0070c0"/>
          <w:rtl w:val="0"/>
        </w:rPr>
        <w:t xml:space="preserve">Provide the most recent indirect cost rate agreement (NICRA). The applicable indirect cost rate(s) negotiated by the organization with the cognizant negotiating agency must be used in computing indirect costs (F&amp;A) for a proposal (2 CFR §200.414). The amount for indirect costs should be calculated by applying the current negotiated indirect cost rate(s) to the approved base(s). Subaward indirect charges should not be included here; show subaward indirect charges on the subaward spreadsheet(s). </w:t>
      </w:r>
    </w:p>
    <w:p w:rsidR="00000000" w:rsidDel="00000000" w:rsidP="00000000" w:rsidRDefault="00000000" w:rsidRPr="00000000" w14:paraId="00000097">
      <w:pPr>
        <w:ind w:left="0" w:hanging="2"/>
        <w:rPr/>
      </w:pPr>
      <w:r w:rsidDel="00000000" w:rsidR="00000000" w:rsidRPr="00000000">
        <w:rPr>
          <w:rtl w:val="0"/>
        </w:rPr>
      </w:r>
    </w:p>
    <w:p w:rsidR="00000000" w:rsidDel="00000000" w:rsidP="00000000" w:rsidRDefault="00000000" w:rsidRPr="00000000" w14:paraId="00000098">
      <w:pPr>
        <w:ind w:left="0" w:hanging="2"/>
        <w:rPr/>
      </w:pPr>
      <w:r w:rsidDel="00000000" w:rsidR="00000000" w:rsidRPr="00000000">
        <w:rPr>
          <w:rtl w:val="0"/>
        </w:rPr>
      </w:r>
    </w:p>
    <w:p w:rsidR="00000000" w:rsidDel="00000000" w:rsidP="00000000" w:rsidRDefault="00000000" w:rsidRPr="00000000" w14:paraId="00000099">
      <w:pPr>
        <w:ind w:left="0" w:hanging="2"/>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9A">
      <w:pPr>
        <w:ind w:left="0" w:hanging="2"/>
        <w:rPr>
          <w:u w:val="single"/>
        </w:rPr>
      </w:pPr>
      <w:r w:rsidDel="00000000" w:rsidR="00000000" w:rsidRPr="00000000">
        <w:rPr>
          <w:u w:val="single"/>
          <w:rtl w:val="0"/>
        </w:rPr>
        <w:t xml:space="preserve">Subawards</w:t>
      </w:r>
    </w:p>
    <w:p w:rsidR="00000000" w:rsidDel="00000000" w:rsidP="00000000" w:rsidRDefault="00000000" w:rsidRPr="00000000" w14:paraId="0000009B">
      <w:pPr>
        <w:ind w:left="0" w:hanging="2"/>
        <w:rPr/>
      </w:pPr>
      <w:r w:rsidDel="00000000" w:rsidR="00000000" w:rsidRPr="00000000">
        <w:rPr>
          <w:rtl w:val="0"/>
        </w:rPr>
      </w:r>
    </w:p>
    <w:p w:rsidR="00000000" w:rsidDel="00000000" w:rsidP="00000000" w:rsidRDefault="00000000" w:rsidRPr="00000000" w14:paraId="0000009C">
      <w:pPr>
        <w:ind w:left="0" w:hanging="2"/>
        <w:rPr>
          <w:color w:val="0070c0"/>
        </w:rPr>
      </w:pPr>
      <w:r w:rsidDel="00000000" w:rsidR="00000000" w:rsidRPr="00000000">
        <w:rPr>
          <w:color w:val="0070c0"/>
          <w:rtl w:val="0"/>
        </w:rPr>
        <w:t xml:space="preserve">Provide separate budget spreadsheets for each subaward, regardless of the dollar value and indicate the basis for the cost estimates in the narrative.  </w:t>
      </w:r>
      <w:r w:rsidDel="00000000" w:rsidR="00000000" w:rsidRPr="00000000">
        <w:rPr>
          <w:i w:val="1"/>
          <w:color w:val="0070c0"/>
          <w:rtl w:val="0"/>
        </w:rPr>
        <w:t xml:space="preserve">Duplicate the separate Subaward budget spreadsheet for as many </w:t>
      </w:r>
      <w:r w:rsidDel="00000000" w:rsidR="00000000" w:rsidRPr="00000000">
        <w:rPr>
          <w:i w:val="1"/>
          <w:color w:val="0070c0"/>
          <w:rtl w:val="0"/>
        </w:rPr>
        <w:t xml:space="preserve">subawardees</w:t>
      </w:r>
      <w:r w:rsidDel="00000000" w:rsidR="00000000" w:rsidRPr="00000000">
        <w:rPr>
          <w:i w:val="1"/>
          <w:color w:val="0070c0"/>
          <w:rtl w:val="0"/>
        </w:rPr>
        <w:t xml:space="preserve"> as necessary.</w:t>
      </w:r>
      <w:r w:rsidDel="00000000" w:rsidR="00000000" w:rsidRPr="00000000">
        <w:rPr>
          <w:rtl w:val="0"/>
        </w:rPr>
      </w:r>
    </w:p>
    <w:p w:rsidR="00000000" w:rsidDel="00000000" w:rsidP="00000000" w:rsidRDefault="00000000" w:rsidRPr="00000000" w14:paraId="0000009D">
      <w:pPr>
        <w:ind w:left="0" w:hanging="2"/>
        <w:rPr>
          <w:color w:val="0070c0"/>
        </w:rPr>
      </w:pPr>
      <w:r w:rsidDel="00000000" w:rsidR="00000000" w:rsidRPr="00000000">
        <w:rPr>
          <w:rtl w:val="0"/>
        </w:rPr>
      </w:r>
    </w:p>
    <w:p w:rsidR="00000000" w:rsidDel="00000000" w:rsidP="00000000" w:rsidRDefault="00000000" w:rsidRPr="00000000" w14:paraId="0000009E">
      <w:pPr>
        <w:ind w:left="0" w:hanging="2"/>
        <w:rPr>
          <w:color w:val="0070c0"/>
        </w:rPr>
      </w:pPr>
      <w:r w:rsidDel="00000000" w:rsidR="00000000" w:rsidRPr="00000000">
        <w:rPr>
          <w:color w:val="0070c0"/>
          <w:rtl w:val="0"/>
        </w:rPr>
        <w:t xml:space="preserve">Note:  for NOAA/NWS grants, a </w:t>
      </w:r>
      <w:r w:rsidDel="00000000" w:rsidR="00000000" w:rsidRPr="00000000">
        <w:rPr>
          <w:color w:val="0070c0"/>
          <w:rtl w:val="0"/>
        </w:rPr>
        <w:t xml:space="preserve">subawardee</w:t>
      </w:r>
      <w:r w:rsidDel="00000000" w:rsidR="00000000" w:rsidRPr="00000000">
        <w:rPr>
          <w:color w:val="0070c0"/>
          <w:rtl w:val="0"/>
        </w:rPr>
        <w:t xml:space="preserve"> may NOT make further subawards or issue contracts.  Only the Prime applicant may issue a subaward or contract.</w:t>
      </w:r>
    </w:p>
    <w:p w:rsidR="00000000" w:rsidDel="00000000" w:rsidP="00000000" w:rsidRDefault="00000000" w:rsidRPr="00000000" w14:paraId="0000009F">
      <w:pPr>
        <w:ind w:left="0" w:hanging="2"/>
        <w:rPr>
          <w:color w:val="0070c0"/>
        </w:rPr>
      </w:pPr>
      <w:r w:rsidDel="00000000" w:rsidR="00000000" w:rsidRPr="00000000">
        <w:rPr>
          <w:rtl w:val="0"/>
        </w:rPr>
      </w:r>
    </w:p>
    <w:p w:rsidR="00000000" w:rsidDel="00000000" w:rsidP="00000000" w:rsidRDefault="00000000" w:rsidRPr="00000000" w14:paraId="000000A0">
      <w:pPr>
        <w:ind w:left="0" w:hanging="2"/>
        <w:rPr>
          <w:color w:val="0070c0"/>
        </w:rPr>
      </w:pPr>
      <w:r w:rsidDel="00000000" w:rsidR="00000000" w:rsidRPr="00000000">
        <w:rPr>
          <w:color w:val="0070c0"/>
          <w:rtl w:val="0"/>
        </w:rPr>
        <w:t xml:space="preserve">Below, list the subaward partner(s) you are working with and briefly describe their relationship with the main applicant and overall contributions the </w:t>
      </w:r>
      <w:r w:rsidDel="00000000" w:rsidR="00000000" w:rsidRPr="00000000">
        <w:rPr>
          <w:color w:val="0070c0"/>
          <w:rtl w:val="0"/>
        </w:rPr>
        <w:t xml:space="preserve">subawardee</w:t>
      </w:r>
      <w:r w:rsidDel="00000000" w:rsidR="00000000" w:rsidRPr="00000000">
        <w:rPr>
          <w:color w:val="0070c0"/>
          <w:rtl w:val="0"/>
        </w:rPr>
        <w:t xml:space="preserve"> will make to the entire grant’s anticipated outcomes.</w:t>
      </w:r>
    </w:p>
    <w:p w:rsidR="00000000" w:rsidDel="00000000" w:rsidP="00000000" w:rsidRDefault="00000000" w:rsidRPr="00000000" w14:paraId="000000A1">
      <w:pPr>
        <w:ind w:left="0" w:hanging="2"/>
        <w:rPr/>
      </w:pPr>
      <w:r w:rsidDel="00000000" w:rsidR="00000000" w:rsidRPr="00000000">
        <w:rPr>
          <w:rtl w:val="0"/>
        </w:rPr>
      </w:r>
    </w:p>
    <w:p w:rsidR="00000000" w:rsidDel="00000000" w:rsidP="00000000" w:rsidRDefault="00000000" w:rsidRPr="00000000" w14:paraId="000000A2">
      <w:pPr>
        <w:ind w:left="0" w:hanging="2"/>
        <w:rPr/>
      </w:pPr>
      <w:r w:rsidDel="00000000" w:rsidR="00000000" w:rsidRPr="00000000">
        <w:rPr>
          <w:rtl w:val="0"/>
        </w:rPr>
      </w:r>
    </w:p>
    <w:p w:rsidR="00000000" w:rsidDel="00000000" w:rsidP="00000000" w:rsidRDefault="00000000" w:rsidRPr="00000000" w14:paraId="000000A3">
      <w:pPr>
        <w:ind w:left="0" w:hanging="2"/>
        <w:rPr>
          <w:u w:val="single"/>
        </w:rPr>
      </w:pPr>
      <w:r w:rsidDel="00000000" w:rsidR="00000000" w:rsidRPr="00000000">
        <w:rPr>
          <w:rtl w:val="0"/>
        </w:rPr>
      </w:r>
    </w:p>
    <w:p w:rsidR="00000000" w:rsidDel="00000000" w:rsidP="00000000" w:rsidRDefault="00000000" w:rsidRPr="00000000" w14:paraId="000000A4">
      <w:pPr>
        <w:ind w:left="0" w:hanging="2"/>
        <w:rPr>
          <w:u w:val="single"/>
        </w:rPr>
      </w:pPr>
      <w:r w:rsidDel="00000000" w:rsidR="00000000" w:rsidRPr="00000000">
        <w:rPr>
          <w:rtl w:val="0"/>
        </w:rPr>
      </w:r>
    </w:p>
    <w:p w:rsidR="00000000" w:rsidDel="00000000" w:rsidP="00000000" w:rsidRDefault="00000000" w:rsidRPr="00000000" w14:paraId="000000A5">
      <w:pPr>
        <w:ind w:left="0" w:hanging="2"/>
        <w:rPr/>
      </w:pPr>
      <w:r w:rsidDel="00000000" w:rsidR="00000000" w:rsidRPr="00000000">
        <w:rPr>
          <w:rtl w:val="0"/>
        </w:rPr>
        <w:t xml:space="preserve"> </w:t>
      </w:r>
    </w:p>
    <w:p w:rsidR="00000000" w:rsidDel="00000000" w:rsidP="00000000" w:rsidRDefault="00000000" w:rsidRPr="00000000" w14:paraId="000000A6">
      <w:pPr>
        <w:ind w:left="0" w:hanging="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pBdr>
        <w:top w:color="622423" w:space="1" w:sz="24" w:val="single"/>
        <w:left w:space="0" w:sz="0" w:val="nil"/>
        <w:bottom w:space="0" w:sz="0" w:val="nil"/>
        <w:right w:space="0" w:sz="0" w:val="nil"/>
        <w:between w:space="0" w:sz="0" w:val="nil"/>
      </w:pBdr>
      <w:tabs>
        <w:tab w:val="center" w:leader="none" w:pos="4680"/>
        <w:tab w:val="right" w:leader="none" w:pos="9360"/>
      </w:tabs>
      <w:spacing w:line="240" w:lineRule="auto"/>
      <w:ind w:left="0" w:hanging="2"/>
      <w:rPr>
        <w:rFonts w:ascii="Cambria" w:cs="Cambria" w:eastAsia="Cambria" w:hAnsi="Cambria"/>
        <w:color w:val="000000"/>
      </w:rPr>
    </w:pPr>
    <w:r w:rsidDel="00000000" w:rsidR="00000000" w:rsidRPr="00000000">
      <w:rPr>
        <w:rFonts w:ascii="Cambria" w:cs="Cambria" w:eastAsia="Cambria" w:hAnsi="Cambria"/>
        <w:color w:val="000000"/>
        <w:rtl w:val="0"/>
      </w:rPr>
      <w:t xml:space="preserve">FY2</w:t>
    </w:r>
    <w:r w:rsidDel="00000000" w:rsidR="00000000" w:rsidRPr="00000000">
      <w:rPr>
        <w:rFonts w:ascii="Cambria" w:cs="Cambria" w:eastAsia="Cambria" w:hAnsi="Cambria"/>
        <w:rtl w:val="0"/>
      </w:rPr>
      <w:t xml:space="preserve">5</w:t>
    </w:r>
    <w:r w:rsidDel="00000000" w:rsidR="00000000" w:rsidRPr="00000000">
      <w:rPr>
        <w:rFonts w:ascii="Cambria" w:cs="Cambria" w:eastAsia="Cambria" w:hAnsi="Cambria"/>
        <w:color w:val="000000"/>
        <w:rtl w:val="0"/>
      </w:rPr>
      <w:t xml:space="preserve"> NOAA/NWS Tsunami Activities Grant </w:t>
    </w:r>
    <w:r w:rsidDel="00000000" w:rsidR="00000000" w:rsidRPr="00000000">
      <w:rPr>
        <w:rFonts w:ascii="Cambria" w:cs="Cambria" w:eastAsia="Cambria" w:hAnsi="Cambria"/>
        <w:rtl w:val="0"/>
      </w:rPr>
      <w:t xml:space="preserve">Budget</w:t>
    </w:r>
    <w:r w:rsidDel="00000000" w:rsidR="00000000" w:rsidRPr="00000000">
      <w:rPr>
        <w:rFonts w:ascii="Cambria" w:cs="Cambria" w:eastAsia="Cambria" w:hAnsi="Cambria"/>
        <w:color w:val="000000"/>
        <w:rtl w:val="0"/>
      </w:rPr>
      <w:t xml:space="preserve">--Narrative Explanation</w:t>
      <w:tab/>
      <w:t xml:space="preserve">Page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pPr>
      <w:suppressAutoHyphens w:val="1"/>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pPr>
      <w:ind w:left="720"/>
      <w:contextualSpacing w:val="1"/>
    </w:pPr>
  </w:style>
  <w:style w:type="character" w:styleId="Hyperlink">
    <w:name w:val="Hyperlink"/>
    <w:qFormat w:val="1"/>
    <w:rPr>
      <w:color w:val="0000ff"/>
      <w:w w:val="100"/>
      <w:position w:val="-1"/>
      <w:u w:val="single"/>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rFonts w:ascii="Times New Roman" w:eastAsia="Times New Roman" w:hAnsi="Times New Roman"/>
      <w:w w:val="100"/>
      <w:position w:val="-1"/>
      <w:sz w:val="24"/>
      <w:szCs w:val="24"/>
      <w:effect w:val="none"/>
      <w:vertAlign w:val="baseline"/>
      <w:cs w:val="0"/>
      <w:em w:val="none"/>
    </w:r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eastAsia="Times New Roman" w:hAnsi="Tahoma"/>
      <w:w w:val="100"/>
      <w:position w:val="-1"/>
      <w:sz w:val="16"/>
      <w:szCs w:val="16"/>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eather.gov/media/nthmp/Grants/NOAABudgetNarrativeGuidance.pdf" TargetMode="External"/><Relationship Id="rId8" Type="http://schemas.openxmlformats.org/officeDocument/2006/relationships/hyperlink" Target="https://www.weather.gov/media/nthmp/Grants/SubrecipientContractorDetermin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TjGXLVqQauZgyJPOZizaQlLYg==">CgMxLjAyCGguZ2pkZ3hzOAByITFIV0MwYjRhQUVfV0dQT1RmZEdLRnVxUEJMaENwdWhEVg==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2022-12-14T22:05:00Z</dcterms:created>
  <dc:creator>PRSN</dc:creator>
</cp:coreProperties>
</file>